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0636" w:rsidRDefault="001F0636">
      <w:pPr>
        <w:rPr>
          <w:rFonts w:ascii="Times New Roman" w:hAnsi="Times New Roman" w:cs="Times New Roman"/>
          <w:sz w:val="20"/>
          <w:szCs w:val="20"/>
        </w:rPr>
      </w:pPr>
      <w:bookmarkStart w:id="0" w:name="_GoBack"/>
      <w:bookmarkEnd w:id="0"/>
    </w:p>
    <w:p w:rsidR="001F0636" w:rsidRDefault="001F0636">
      <w:pPr>
        <w:ind w:firstLine="1440"/>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sz w:val="20"/>
          <w:szCs w:val="20"/>
        </w:rPr>
        <w:tab/>
      </w:r>
      <w:r>
        <w:rPr>
          <w:rFonts w:ascii="Times New Roman" w:hAnsi="Times New Roman" w:cs="Times New Roman"/>
          <w:b/>
          <w:bCs/>
          <w:sz w:val="32"/>
          <w:szCs w:val="32"/>
        </w:rPr>
        <w:t>North American Wetlands Conservation Act</w:t>
      </w:r>
      <w:r>
        <w:rPr>
          <w:rFonts w:ascii="Times New Roman" w:hAnsi="Times New Roman" w:cs="Times New Roman"/>
          <w:b/>
          <w:bCs/>
          <w:sz w:val="28"/>
          <w:szCs w:val="28"/>
        </w:rPr>
        <w:t xml:space="preserve"> </w:t>
      </w:r>
    </w:p>
    <w:p w:rsidR="001F0636" w:rsidRDefault="001F0636">
      <w:pPr>
        <w:rPr>
          <w:rFonts w:ascii="Times New Roman" w:hAnsi="Times New Roman" w:cs="Times New Roman"/>
          <w:b/>
          <w:bCs/>
          <w:sz w:val="28"/>
          <w:szCs w:val="28"/>
        </w:rPr>
      </w:pP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left" w:pos="-480"/>
          <w:tab w:val="left" w:pos="0"/>
          <w:tab w:val="left" w:pos="360"/>
        </w:tabs>
        <w:ind w:firstLine="720"/>
        <w:rPr>
          <w:rFonts w:ascii="Times New Roman" w:hAnsi="Times New Roman" w:cs="Times New Roman"/>
          <w:b/>
          <w:bCs/>
          <w:sz w:val="28"/>
          <w:szCs w:val="28"/>
        </w:rPr>
      </w:pP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b/>
          <w:bCs/>
          <w:sz w:val="28"/>
          <w:szCs w:val="28"/>
        </w:rPr>
        <w:tab/>
        <w:t>POLICY</w:t>
      </w: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b/>
          <w:bCs/>
          <w:sz w:val="28"/>
          <w:szCs w:val="28"/>
        </w:rPr>
        <w:tab/>
        <w:t>for</w:t>
      </w: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sz w:val="28"/>
          <w:szCs w:val="28"/>
        </w:rPr>
      </w:pPr>
      <w:r>
        <w:rPr>
          <w:rFonts w:ascii="Times New Roman" w:hAnsi="Times New Roman" w:cs="Times New Roman"/>
          <w:b/>
          <w:bCs/>
          <w:sz w:val="28"/>
          <w:szCs w:val="28"/>
        </w:rPr>
        <w:tab/>
        <w:t>ADMINISTRATION</w:t>
      </w:r>
    </w:p>
    <w:p w:rsidR="001F0636" w:rsidRDefault="001F0636">
      <w:pPr>
        <w:tabs>
          <w:tab w:val="left" w:pos="-480"/>
          <w:tab w:val="left" w:pos="0"/>
          <w:tab w:val="left" w:pos="360"/>
        </w:tabs>
        <w:rPr>
          <w:rFonts w:ascii="Times New Roman" w:hAnsi="Times New Roman" w:cs="Times New Roman"/>
          <w:sz w:val="28"/>
          <w:szCs w:val="28"/>
        </w:rPr>
      </w:pPr>
    </w:p>
    <w:p w:rsidR="001F0636" w:rsidRDefault="001F0636">
      <w:pPr>
        <w:tabs>
          <w:tab w:val="center" w:pos="5400"/>
        </w:tabs>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of</w:t>
      </w:r>
    </w:p>
    <w:p w:rsidR="001F0636" w:rsidRDefault="001F0636">
      <w:pPr>
        <w:tabs>
          <w:tab w:val="left" w:pos="-480"/>
          <w:tab w:val="left" w:pos="0"/>
          <w:tab w:val="left" w:pos="360"/>
        </w:tabs>
        <w:rPr>
          <w:rFonts w:ascii="Times New Roman" w:hAnsi="Times New Roman" w:cs="Times New Roman"/>
          <w:sz w:val="28"/>
          <w:szCs w:val="28"/>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b/>
          <w:bCs/>
          <w:sz w:val="28"/>
          <w:szCs w:val="28"/>
        </w:rPr>
        <w:tab/>
        <w:t>FEDERALLY ASSISTED PROJECTS</w:t>
      </w: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b/>
          <w:bCs/>
          <w:sz w:val="28"/>
          <w:szCs w:val="28"/>
        </w:rPr>
        <w:tab/>
        <w:t>in the</w:t>
      </w: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sz w:val="28"/>
          <w:szCs w:val="28"/>
        </w:rPr>
      </w:pPr>
      <w:r>
        <w:rPr>
          <w:rFonts w:ascii="Times New Roman" w:hAnsi="Times New Roman" w:cs="Times New Roman"/>
          <w:b/>
          <w:bCs/>
          <w:sz w:val="28"/>
          <w:szCs w:val="28"/>
        </w:rPr>
        <w:tab/>
        <w:t>UNITED STATES</w:t>
      </w:r>
      <w:r>
        <w:rPr>
          <w:rFonts w:ascii="Times New Roman" w:hAnsi="Times New Roman" w:cs="Times New Roman"/>
          <w:sz w:val="28"/>
          <w:szCs w:val="28"/>
        </w:rPr>
        <w:t xml:space="preserve"> </w:t>
      </w:r>
      <w:r>
        <w:rPr>
          <w:rFonts w:ascii="Times New Roman" w:hAnsi="Times New Roman" w:cs="Times New Roman"/>
          <w:b/>
          <w:bCs/>
          <w:sz w:val="28"/>
          <w:szCs w:val="28"/>
        </w:rPr>
        <w:t>OF AMERICA</w:t>
      </w: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center" w:pos="5400"/>
        </w:tabs>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b/>
          <w:bCs/>
        </w:rPr>
        <w:t>September 27, 2004</w:t>
      </w: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ind w:firstLine="3600"/>
        <w:rPr>
          <w:rFonts w:ascii="Times New Roman" w:hAnsi="Times New Roman" w:cs="Times New Roman"/>
          <w:sz w:val="20"/>
          <w:szCs w:val="20"/>
        </w:rPr>
        <w:sectPr w:rsidR="001F0636">
          <w:pgSz w:w="12240" w:h="15840"/>
          <w:pgMar w:top="720" w:right="720" w:bottom="720" w:left="720" w:header="720" w:footer="720" w:gutter="0"/>
          <w:cols w:space="720"/>
          <w:noEndnote/>
        </w:sect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center" w:pos="5400"/>
        </w:tabs>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b/>
          <w:bCs/>
          <w:sz w:val="32"/>
          <w:szCs w:val="32"/>
        </w:rPr>
        <w:t>Table of Contents</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pStyle w:val="Level1"/>
        <w:numPr>
          <w:ilvl w:val="0"/>
          <w:numId w:val="1"/>
        </w:numPr>
        <w:tabs>
          <w:tab w:val="left" w:pos="-360"/>
          <w:tab w:val="left" w:pos="-180"/>
          <w:tab w:val="left" w:pos="0"/>
          <w:tab w:val="num" w:pos="180"/>
          <w:tab w:val="left" w:pos="360"/>
          <w:tab w:val="left" w:pos="540"/>
          <w:tab w:val="left" w:pos="720"/>
          <w:tab w:val="left" w:pos="900"/>
          <w:tab w:val="left" w:pos="1080"/>
          <w:tab w:val="left" w:pos="1260"/>
        </w:tabs>
        <w:ind w:left="180"/>
        <w:rPr>
          <w:rFonts w:ascii="Times New Roman" w:hAnsi="Times New Roman" w:cs="Times New Roman"/>
          <w:sz w:val="20"/>
          <w:szCs w:val="20"/>
        </w:rPr>
      </w:pPr>
      <w:r>
        <w:rPr>
          <w:rFonts w:ascii="Times New Roman" w:hAnsi="Times New Roman" w:cs="Times New Roman"/>
          <w:sz w:val="20"/>
          <w:szCs w:val="20"/>
        </w:rPr>
        <w:t>APPLICABILITY</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pStyle w:val="Level1"/>
        <w:numPr>
          <w:ilvl w:val="0"/>
          <w:numId w:val="2"/>
        </w:numPr>
        <w:tabs>
          <w:tab w:val="left" w:pos="-360"/>
          <w:tab w:val="left" w:pos="-180"/>
          <w:tab w:val="left" w:pos="0"/>
          <w:tab w:val="left" w:pos="180"/>
          <w:tab w:val="left" w:pos="360"/>
          <w:tab w:val="right" w:leader="dot" w:pos="10800"/>
        </w:tabs>
        <w:ind w:left="360"/>
        <w:rPr>
          <w:sz w:val="20"/>
          <w:szCs w:val="20"/>
        </w:rPr>
      </w:pPr>
      <w:r>
        <w:rPr>
          <w:sz w:val="20"/>
          <w:szCs w:val="20"/>
        </w:rPr>
        <w:t>What does this Policy apply to?</w:t>
      </w:r>
      <w:r>
        <w:rPr>
          <w:sz w:val="20"/>
          <w:szCs w:val="20"/>
        </w:rPr>
        <w:tab/>
        <w:t>1</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pStyle w:val="Level1"/>
        <w:numPr>
          <w:ilvl w:val="0"/>
          <w:numId w:val="3"/>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AUTHORITIES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180"/>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B-1</w:t>
      </w:r>
      <w:r>
        <w:rPr>
          <w:sz w:val="20"/>
          <w:szCs w:val="20"/>
        </w:rPr>
        <w:tab/>
      </w:r>
      <w:r>
        <w:rPr>
          <w:sz w:val="20"/>
          <w:szCs w:val="20"/>
        </w:rPr>
        <w:tab/>
        <w:t>What are the basic grant administration regulations that govern a NAWCA grant?</w:t>
      </w:r>
      <w:r>
        <w:rPr>
          <w:sz w:val="20"/>
          <w:szCs w:val="20"/>
        </w:rPr>
        <w:tab/>
        <w:t>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B-2</w:t>
      </w:r>
      <w:r>
        <w:rPr>
          <w:sz w:val="20"/>
          <w:szCs w:val="20"/>
        </w:rPr>
        <w:tab/>
      </w:r>
      <w:r>
        <w:rPr>
          <w:sz w:val="20"/>
          <w:szCs w:val="20"/>
        </w:rPr>
        <w:tab/>
        <w:t>Where can I get a copy of the laws, regulations, guidance, and forms that apply to grants?</w:t>
      </w:r>
      <w:r>
        <w:rPr>
          <w:sz w:val="20"/>
          <w:szCs w:val="20"/>
        </w:rPr>
        <w:tab/>
        <w:t>2</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180"/>
        <w:rPr>
          <w:sz w:val="20"/>
          <w:szCs w:val="20"/>
        </w:rPr>
      </w:pPr>
    </w:p>
    <w:p w:rsidR="001F0636" w:rsidRDefault="001F0636">
      <w:pPr>
        <w:pStyle w:val="Level1"/>
        <w:numPr>
          <w:ilvl w:val="0"/>
          <w:numId w:val="4"/>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DEFINITIONS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C-1</w:t>
      </w:r>
      <w:r>
        <w:rPr>
          <w:sz w:val="20"/>
          <w:szCs w:val="20"/>
        </w:rPr>
        <w:tab/>
      </w:r>
      <w:r>
        <w:rPr>
          <w:sz w:val="20"/>
          <w:szCs w:val="20"/>
        </w:rPr>
        <w:tab/>
        <w:t>Where can I find the definitions of the legal and technical terms used in this policy?</w:t>
      </w:r>
      <w:r>
        <w:rPr>
          <w:sz w:val="20"/>
          <w:szCs w:val="20"/>
        </w:rPr>
        <w:tab/>
        <w:t>3</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pStyle w:val="Level1"/>
        <w:numPr>
          <w:ilvl w:val="0"/>
          <w:numId w:val="5"/>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GRANT/COOPERATIVE AGREEMENT</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D-1</w:t>
      </w:r>
      <w:r>
        <w:rPr>
          <w:sz w:val="20"/>
          <w:szCs w:val="20"/>
        </w:rPr>
        <w:tab/>
      </w:r>
      <w:r>
        <w:rPr>
          <w:sz w:val="20"/>
          <w:szCs w:val="20"/>
        </w:rPr>
        <w:tab/>
        <w:t>When will I receive an Agreement?</w:t>
      </w:r>
      <w:r>
        <w:rPr>
          <w:sz w:val="20"/>
          <w:szCs w:val="20"/>
        </w:rPr>
        <w:tab/>
        <w:t>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D-2</w:t>
      </w:r>
      <w:r>
        <w:rPr>
          <w:sz w:val="20"/>
          <w:szCs w:val="20"/>
        </w:rPr>
        <w:tab/>
      </w:r>
      <w:r>
        <w:rPr>
          <w:sz w:val="20"/>
          <w:szCs w:val="20"/>
        </w:rPr>
        <w:tab/>
        <w:t>When can I draw down Federal grant funds?</w:t>
      </w:r>
      <w:r>
        <w:rPr>
          <w:sz w:val="20"/>
          <w:szCs w:val="20"/>
        </w:rPr>
        <w:tab/>
        <w:t>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D-3</w:t>
      </w:r>
      <w:r>
        <w:rPr>
          <w:sz w:val="20"/>
          <w:szCs w:val="20"/>
        </w:rPr>
        <w:tab/>
      </w:r>
      <w:r>
        <w:rPr>
          <w:sz w:val="20"/>
          <w:szCs w:val="20"/>
        </w:rPr>
        <w:tab/>
        <w:t>If I change my mind, can I decline the grant with no further obligation?</w:t>
      </w:r>
      <w:r>
        <w:rPr>
          <w:sz w:val="20"/>
          <w:szCs w:val="20"/>
        </w:rPr>
        <w:tab/>
        <w:t>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D-4</w:t>
      </w:r>
      <w:r>
        <w:rPr>
          <w:sz w:val="20"/>
          <w:szCs w:val="20"/>
        </w:rPr>
        <w:tab/>
      </w:r>
      <w:r>
        <w:rPr>
          <w:sz w:val="20"/>
          <w:szCs w:val="20"/>
        </w:rPr>
        <w:tab/>
        <w:t>How can this be an “Agreement” if I do not sign it?</w:t>
      </w:r>
      <w:r>
        <w:rPr>
          <w:sz w:val="20"/>
          <w:szCs w:val="20"/>
        </w:rPr>
        <w:tab/>
        <w:t>3</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pStyle w:val="Level1"/>
        <w:numPr>
          <w:ilvl w:val="0"/>
          <w:numId w:val="6"/>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REPORTS AND OTHER DOCUMENTATION</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E-1</w:t>
      </w:r>
      <w:r>
        <w:rPr>
          <w:sz w:val="20"/>
          <w:szCs w:val="20"/>
        </w:rPr>
        <w:tab/>
      </w:r>
      <w:r>
        <w:rPr>
          <w:sz w:val="20"/>
          <w:szCs w:val="20"/>
        </w:rPr>
        <w:tab/>
        <w:t>What reports and other documents do I have to submit after I receive the award?</w:t>
      </w:r>
      <w:r>
        <w:rPr>
          <w:sz w:val="20"/>
          <w:szCs w:val="20"/>
        </w:rPr>
        <w:tab/>
        <w:t>3</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pStyle w:val="Level1"/>
        <w:numPr>
          <w:ilvl w:val="0"/>
          <w:numId w:val="6"/>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 xml:space="preserve">FINANCIAL ADMINISTRATION </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w:t>
      </w:r>
      <w:r>
        <w:rPr>
          <w:sz w:val="20"/>
          <w:szCs w:val="20"/>
        </w:rPr>
        <w:tab/>
      </w:r>
      <w:r>
        <w:rPr>
          <w:sz w:val="20"/>
          <w:szCs w:val="20"/>
        </w:rPr>
        <w:tab/>
        <w:t>What is the funding period?</w:t>
      </w:r>
      <w:r>
        <w:rPr>
          <w:sz w:val="20"/>
          <w:szCs w:val="20"/>
        </w:rPr>
        <w:tab/>
        <w:t>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w:t>
      </w:r>
      <w:r>
        <w:rPr>
          <w:sz w:val="20"/>
          <w:szCs w:val="20"/>
        </w:rPr>
        <w:tab/>
      </w:r>
      <w:r>
        <w:rPr>
          <w:sz w:val="20"/>
          <w:szCs w:val="20"/>
        </w:rPr>
        <w:tab/>
        <w:t>Do I have to spend grant and matching funds only during the funding period?</w:t>
      </w:r>
      <w:r>
        <w:rPr>
          <w:sz w:val="20"/>
          <w:szCs w:val="20"/>
        </w:rPr>
        <w:tab/>
        <w:t>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F-3</w:t>
      </w:r>
      <w:r>
        <w:rPr>
          <w:sz w:val="20"/>
          <w:szCs w:val="20"/>
        </w:rPr>
        <w:tab/>
      </w:r>
      <w:r>
        <w:rPr>
          <w:sz w:val="20"/>
          <w:szCs w:val="20"/>
        </w:rPr>
        <w:tab/>
        <w:t>Do I have to complete all the work on the project during the funding period?</w:t>
      </w:r>
      <w:r>
        <w:rPr>
          <w:sz w:val="20"/>
          <w:szCs w:val="20"/>
        </w:rPr>
        <w:tab/>
        <w:t>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F-4</w:t>
      </w:r>
      <w:r>
        <w:rPr>
          <w:sz w:val="20"/>
          <w:szCs w:val="20"/>
        </w:rPr>
        <w:tab/>
      </w:r>
      <w:r>
        <w:rPr>
          <w:sz w:val="20"/>
          <w:szCs w:val="20"/>
        </w:rPr>
        <w:tab/>
        <w:t>May I incur pre-agreement costs?</w:t>
      </w:r>
      <w:r>
        <w:rPr>
          <w:sz w:val="20"/>
          <w:szCs w:val="20"/>
        </w:rPr>
        <w:tab/>
        <w:t>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F-5</w:t>
      </w:r>
      <w:r>
        <w:rPr>
          <w:sz w:val="20"/>
          <w:szCs w:val="20"/>
        </w:rPr>
        <w:tab/>
      </w:r>
      <w:r>
        <w:rPr>
          <w:sz w:val="20"/>
          <w:szCs w:val="20"/>
        </w:rPr>
        <w:tab/>
        <w:t>What rules apply to match?</w:t>
      </w:r>
      <w:r>
        <w:rPr>
          <w:sz w:val="20"/>
          <w:szCs w:val="20"/>
        </w:rPr>
        <w:tab/>
        <w:t>10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F-6</w:t>
      </w:r>
      <w:r>
        <w:rPr>
          <w:sz w:val="20"/>
          <w:szCs w:val="20"/>
        </w:rPr>
        <w:tab/>
      </w:r>
      <w:r>
        <w:rPr>
          <w:sz w:val="20"/>
          <w:szCs w:val="20"/>
        </w:rPr>
        <w:tab/>
        <w:t>May I use Bonneville Power Administration Funds as match?</w:t>
      </w:r>
      <w:r>
        <w:rPr>
          <w:sz w:val="20"/>
          <w:szCs w:val="20"/>
        </w:rPr>
        <w:tab/>
        <w:t>11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F-7</w:t>
      </w:r>
      <w:r>
        <w:rPr>
          <w:sz w:val="20"/>
          <w:szCs w:val="20"/>
        </w:rPr>
        <w:tab/>
      </w:r>
      <w:r>
        <w:rPr>
          <w:sz w:val="20"/>
          <w:szCs w:val="20"/>
        </w:rPr>
        <w:tab/>
        <w:t>Why are Bonneville Power Administration Funds not allowed as match if they are generated by rate payers?</w:t>
      </w:r>
      <w:r>
        <w:rPr>
          <w:sz w:val="20"/>
          <w:szCs w:val="20"/>
        </w:rPr>
        <w:tab/>
        <w:t>11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F-8</w:t>
      </w:r>
      <w:r>
        <w:rPr>
          <w:sz w:val="20"/>
          <w:szCs w:val="20"/>
        </w:rPr>
        <w:tab/>
      </w:r>
      <w:r>
        <w:rPr>
          <w:sz w:val="20"/>
          <w:szCs w:val="20"/>
        </w:rPr>
        <w:tab/>
        <w:t>May I use Tennessee Valley Authority Funds as match?</w:t>
      </w:r>
      <w:r>
        <w:rPr>
          <w:sz w:val="20"/>
          <w:szCs w:val="20"/>
        </w:rPr>
        <w:tab/>
        <w:t>12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F-9</w:t>
      </w:r>
      <w:r>
        <w:rPr>
          <w:sz w:val="20"/>
          <w:szCs w:val="20"/>
        </w:rPr>
        <w:tab/>
      </w:r>
      <w:r>
        <w:rPr>
          <w:sz w:val="20"/>
          <w:szCs w:val="20"/>
        </w:rPr>
        <w:tab/>
        <w:t>May I use grants provided under the Coastal Resources Improvement Program as match?</w:t>
      </w:r>
      <w:r>
        <w:rPr>
          <w:sz w:val="20"/>
          <w:szCs w:val="20"/>
        </w:rPr>
        <w:tab/>
        <w:t>12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F-10</w:t>
      </w:r>
      <w:r>
        <w:rPr>
          <w:sz w:val="20"/>
          <w:szCs w:val="20"/>
        </w:rPr>
        <w:tab/>
        <w:t>May I use grants provided under the Indian Self-determination and Educational Assistance Act of 1975 as match?</w:t>
      </w:r>
      <w:r>
        <w:rPr>
          <w:sz w:val="20"/>
          <w:szCs w:val="20"/>
        </w:rPr>
        <w:tab/>
        <w:t>12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F-11</w:t>
      </w:r>
      <w:r>
        <w:rPr>
          <w:sz w:val="20"/>
          <w:szCs w:val="20"/>
        </w:rPr>
        <w:tab/>
        <w:t>May recipients contribute matching cash or in-kind contributions to a project?</w:t>
      </w:r>
      <w:r>
        <w:rPr>
          <w:sz w:val="20"/>
          <w:szCs w:val="20"/>
        </w:rPr>
        <w:tab/>
        <w:t>13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F-12</w:t>
      </w:r>
      <w:r>
        <w:rPr>
          <w:sz w:val="20"/>
          <w:szCs w:val="20"/>
        </w:rPr>
        <w:tab/>
        <w:t>May I keep program income?</w:t>
      </w:r>
      <w:r>
        <w:rPr>
          <w:sz w:val="20"/>
          <w:szCs w:val="20"/>
        </w:rPr>
        <w:tab/>
        <w:t>13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F-13</w:t>
      </w:r>
      <w:r>
        <w:rPr>
          <w:sz w:val="20"/>
          <w:szCs w:val="20"/>
        </w:rPr>
        <w:tab/>
        <w:t>What standards apply to my financial management system?</w:t>
      </w:r>
      <w:r>
        <w:rPr>
          <w:sz w:val="20"/>
          <w:szCs w:val="20"/>
        </w:rPr>
        <w:tab/>
        <w:t>14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F-14</w:t>
      </w:r>
      <w:r>
        <w:rPr>
          <w:sz w:val="20"/>
          <w:szCs w:val="20"/>
        </w:rPr>
        <w:tab/>
        <w:t>What can I acquire under a grant?</w:t>
      </w:r>
      <w:r>
        <w:rPr>
          <w:sz w:val="20"/>
          <w:szCs w:val="20"/>
        </w:rPr>
        <w:tab/>
        <w:t>15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lastRenderedPageBreak/>
        <w:t>F-15</w:t>
      </w:r>
      <w:r>
        <w:rPr>
          <w:sz w:val="20"/>
          <w:szCs w:val="20"/>
        </w:rPr>
        <w:tab/>
        <w:t>What items in the Cost Principles are most frequently overlooked by recipients?</w:t>
      </w:r>
      <w:r>
        <w:rPr>
          <w:sz w:val="20"/>
          <w:szCs w:val="20"/>
        </w:rPr>
        <w:tab/>
        <w:t>16</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F-16</w:t>
      </w:r>
      <w:r>
        <w:rPr>
          <w:sz w:val="20"/>
          <w:szCs w:val="20"/>
        </w:rPr>
        <w:tab/>
        <w:t>Are indirect costs, facilities and administrative costs, and direct overhead and administrative costs allowable?</w:t>
      </w:r>
      <w:r>
        <w:rPr>
          <w:sz w:val="20"/>
          <w:szCs w:val="20"/>
        </w:rPr>
        <w:tab/>
        <w:t>17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F-17</w:t>
      </w:r>
      <w:r>
        <w:rPr>
          <w:sz w:val="20"/>
          <w:szCs w:val="20"/>
        </w:rPr>
        <w:tab/>
        <w:t>How do subawards, subgrants, pass-through finds, contracts, and subcontracts differ?</w:t>
      </w:r>
      <w:r>
        <w:rPr>
          <w:sz w:val="20"/>
          <w:szCs w:val="20"/>
        </w:rPr>
        <w:tab/>
        <w:t>17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F-18</w:t>
      </w:r>
      <w:r>
        <w:rPr>
          <w:sz w:val="20"/>
          <w:szCs w:val="20"/>
        </w:rPr>
        <w:tab/>
        <w:t>May I use a NAWCA grant to finance part of a larger project supported financially by other Federal agencies?</w:t>
      </w:r>
      <w:r>
        <w:rPr>
          <w:sz w:val="20"/>
          <w:szCs w:val="20"/>
        </w:rPr>
        <w:tab/>
        <w:t>18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F-19</w:t>
      </w:r>
      <w:r>
        <w:rPr>
          <w:sz w:val="20"/>
          <w:szCs w:val="20"/>
        </w:rPr>
        <w:tab/>
        <w:t>How will I receive Federal funds?</w:t>
      </w:r>
      <w:r>
        <w:rPr>
          <w:sz w:val="20"/>
          <w:szCs w:val="20"/>
        </w:rPr>
        <w:tab/>
        <w:t>19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F-20</w:t>
      </w:r>
      <w:r>
        <w:rPr>
          <w:sz w:val="20"/>
          <w:szCs w:val="20"/>
        </w:rPr>
        <w:tab/>
        <w:t>May a subrecipient receive Federal funds directly through SMARTLINK?</w:t>
      </w:r>
      <w:r>
        <w:rPr>
          <w:sz w:val="20"/>
          <w:szCs w:val="20"/>
        </w:rPr>
        <w:tab/>
        <w:t>19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F-21</w:t>
      </w:r>
      <w:r>
        <w:rPr>
          <w:sz w:val="20"/>
          <w:szCs w:val="20"/>
        </w:rPr>
        <w:tab/>
        <w:t>When can I receive Federal funds as a reimbursement payment?</w:t>
      </w:r>
      <w:r>
        <w:rPr>
          <w:sz w:val="20"/>
          <w:szCs w:val="20"/>
        </w:rPr>
        <w:tab/>
        <w:t>19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F-22</w:t>
      </w:r>
      <w:r>
        <w:rPr>
          <w:sz w:val="20"/>
          <w:szCs w:val="20"/>
        </w:rPr>
        <w:tab/>
        <w:t>When can I receive Federal funds as an advance payment?</w:t>
      </w:r>
      <w:r>
        <w:rPr>
          <w:sz w:val="20"/>
          <w:szCs w:val="20"/>
        </w:rPr>
        <w:tab/>
        <w:t>19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F-23</w:t>
      </w:r>
      <w:r>
        <w:rPr>
          <w:sz w:val="20"/>
          <w:szCs w:val="20"/>
        </w:rPr>
        <w:tab/>
        <w:t>In what kind of financial institution do I have to maintain Federal funds?</w:t>
      </w:r>
      <w:r>
        <w:rPr>
          <w:sz w:val="20"/>
          <w:szCs w:val="20"/>
        </w:rPr>
        <w:tab/>
        <w:t>20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F-24</w:t>
      </w:r>
      <w:r>
        <w:rPr>
          <w:sz w:val="20"/>
          <w:szCs w:val="20"/>
        </w:rPr>
        <w:tab/>
        <w:t>Do I have to deposit advances of Federal funds in interest-bearing accounts separate from other funds?</w:t>
      </w:r>
      <w:r>
        <w:rPr>
          <w:sz w:val="20"/>
          <w:szCs w:val="20"/>
        </w:rPr>
        <w:tab/>
        <w:t>20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F-25</w:t>
      </w:r>
      <w:r>
        <w:rPr>
          <w:sz w:val="20"/>
          <w:szCs w:val="20"/>
        </w:rPr>
        <w:tab/>
        <w:t>May I keep the interest earned on Federal funds?</w:t>
      </w:r>
      <w:r>
        <w:rPr>
          <w:sz w:val="20"/>
          <w:szCs w:val="20"/>
        </w:rPr>
        <w:tab/>
        <w:t>20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F-26</w:t>
      </w:r>
      <w:r>
        <w:rPr>
          <w:sz w:val="20"/>
          <w:szCs w:val="20"/>
        </w:rPr>
        <w:tab/>
        <w:t>If I draw down Federal funds as a cash advance, how long do I have to disburse the funds or refund the advance?</w:t>
      </w:r>
      <w:r>
        <w:rPr>
          <w:sz w:val="20"/>
          <w:szCs w:val="20"/>
        </w:rPr>
        <w:tab/>
        <w:t>21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F-27</w:t>
      </w:r>
      <w:r>
        <w:rPr>
          <w:sz w:val="20"/>
          <w:szCs w:val="20"/>
        </w:rPr>
        <w:tab/>
        <w:t>May I draw down Federal funds in excess of the proportionate share of the match used?</w:t>
      </w:r>
      <w:r>
        <w:rPr>
          <w:sz w:val="20"/>
          <w:szCs w:val="20"/>
        </w:rPr>
        <w:tab/>
        <w:t>21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F-28</w:t>
      </w:r>
      <w:r>
        <w:rPr>
          <w:sz w:val="20"/>
          <w:szCs w:val="20"/>
        </w:rPr>
        <w:tab/>
        <w:t>Do I have to spend project funds available from other sources before drawing down Federal funds?</w:t>
      </w:r>
      <w:r>
        <w:rPr>
          <w:sz w:val="20"/>
          <w:szCs w:val="20"/>
        </w:rPr>
        <w:tab/>
        <w:t>21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F-29</w:t>
      </w:r>
      <w:r>
        <w:rPr>
          <w:sz w:val="20"/>
          <w:szCs w:val="20"/>
        </w:rPr>
        <w:tab/>
        <w:t>Do I have to send in reports on Federal funds received through SMARTLINK</w:t>
      </w:r>
      <w:r>
        <w:rPr>
          <w:sz w:val="20"/>
          <w:szCs w:val="20"/>
        </w:rPr>
        <w:tab/>
        <w:t>22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sectPr w:rsidR="001F0636">
          <w:pgSz w:w="12240" w:h="15840"/>
          <w:pgMar w:top="720" w:right="720" w:bottom="720" w:left="720" w:header="720" w:footer="720" w:gutter="0"/>
          <w:cols w:space="720"/>
          <w:noEndnote/>
        </w:sect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sz w:val="20"/>
          <w:szCs w:val="20"/>
        </w:rPr>
      </w:pPr>
      <w:r>
        <w:rPr>
          <w:b/>
          <w:bCs/>
          <w:sz w:val="20"/>
          <w:szCs w:val="20"/>
        </w:rPr>
        <w:lastRenderedPageBreak/>
        <w:t xml:space="preserve">G. </w:t>
      </w:r>
      <w:r>
        <w:rPr>
          <w:b/>
          <w:bCs/>
          <w:sz w:val="20"/>
          <w:szCs w:val="20"/>
        </w:rPr>
        <w:tab/>
        <w:t>EQUIPMENT AND SUPPLIES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G-1</w:t>
      </w:r>
      <w:r>
        <w:rPr>
          <w:sz w:val="20"/>
          <w:szCs w:val="20"/>
        </w:rPr>
        <w:tab/>
      </w:r>
      <w:r>
        <w:rPr>
          <w:sz w:val="20"/>
          <w:szCs w:val="20"/>
        </w:rPr>
        <w:tab/>
        <w:t>What are the rules on use of equipment?</w:t>
      </w:r>
      <w:r>
        <w:rPr>
          <w:sz w:val="20"/>
          <w:szCs w:val="20"/>
        </w:rPr>
        <w:tab/>
        <w:t>22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G-2</w:t>
      </w:r>
      <w:r>
        <w:rPr>
          <w:sz w:val="20"/>
          <w:szCs w:val="20"/>
        </w:rPr>
        <w:tab/>
      </w:r>
      <w:r>
        <w:rPr>
          <w:sz w:val="20"/>
          <w:szCs w:val="20"/>
        </w:rPr>
        <w:tab/>
        <w:t>How often do I have to inventory equipment?</w:t>
      </w:r>
      <w:r>
        <w:rPr>
          <w:sz w:val="20"/>
          <w:szCs w:val="20"/>
        </w:rPr>
        <w:tab/>
        <w:t>22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G-3</w:t>
      </w:r>
      <w:r>
        <w:rPr>
          <w:sz w:val="20"/>
          <w:szCs w:val="20"/>
        </w:rPr>
        <w:tab/>
      </w:r>
      <w:r>
        <w:rPr>
          <w:sz w:val="20"/>
          <w:szCs w:val="20"/>
        </w:rPr>
        <w:tab/>
        <w:t>What are the rules on replacement and disposal of equipment?</w:t>
      </w:r>
      <w:r>
        <w:rPr>
          <w:sz w:val="20"/>
          <w:szCs w:val="20"/>
        </w:rPr>
        <w:tab/>
        <w:t>23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G-4</w:t>
      </w:r>
      <w:r>
        <w:rPr>
          <w:sz w:val="20"/>
          <w:szCs w:val="20"/>
        </w:rPr>
        <w:tab/>
      </w:r>
      <w:r>
        <w:rPr>
          <w:sz w:val="20"/>
          <w:szCs w:val="20"/>
        </w:rPr>
        <w:tab/>
        <w:t>What are the rules on disposal of supplies and other expendable property?</w:t>
      </w:r>
      <w:r>
        <w:rPr>
          <w:sz w:val="20"/>
          <w:szCs w:val="20"/>
        </w:rPr>
        <w:tab/>
        <w:t>24</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sz w:val="20"/>
          <w:szCs w:val="20"/>
        </w:rPr>
      </w:pPr>
      <w:r>
        <w:rPr>
          <w:b/>
          <w:bCs/>
          <w:sz w:val="20"/>
          <w:szCs w:val="20"/>
        </w:rPr>
        <w:t xml:space="preserve">H. </w:t>
      </w:r>
      <w:r>
        <w:rPr>
          <w:b/>
          <w:bCs/>
          <w:sz w:val="20"/>
          <w:szCs w:val="20"/>
        </w:rPr>
        <w:tab/>
        <w:t>HABITAT RESTORATION AND ENHANCEMENT</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H-1</w:t>
      </w:r>
      <w:r>
        <w:rPr>
          <w:sz w:val="20"/>
          <w:szCs w:val="20"/>
        </w:rPr>
        <w:tab/>
      </w:r>
      <w:r>
        <w:rPr>
          <w:sz w:val="20"/>
          <w:szCs w:val="20"/>
        </w:rPr>
        <w:tab/>
        <w:t>How long do I have to manage restored or enhanced habitat or created wetlands for the project purposes?</w:t>
      </w:r>
      <w:r>
        <w:rPr>
          <w:sz w:val="20"/>
          <w:szCs w:val="20"/>
        </w:rPr>
        <w:tab/>
        <w:t>25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H-2</w:t>
      </w:r>
      <w:r>
        <w:rPr>
          <w:sz w:val="20"/>
          <w:szCs w:val="20"/>
        </w:rPr>
        <w:tab/>
      </w:r>
      <w:r>
        <w:rPr>
          <w:sz w:val="20"/>
          <w:szCs w:val="20"/>
        </w:rPr>
        <w:tab/>
        <w:t>What if I stop managing restored or enhanced habitat or created wetlands for project purposes?</w:t>
      </w:r>
      <w:r>
        <w:rPr>
          <w:sz w:val="20"/>
          <w:szCs w:val="20"/>
        </w:rPr>
        <w:tab/>
        <w:t>25</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b/>
          <w:bCs/>
          <w:sz w:val="20"/>
          <w:szCs w:val="20"/>
        </w:rPr>
      </w:pPr>
      <w:r>
        <w:rPr>
          <w:b/>
          <w:bCs/>
          <w:sz w:val="20"/>
          <w:szCs w:val="20"/>
        </w:rPr>
        <w:t xml:space="preserve">I. </w:t>
      </w:r>
      <w:r>
        <w:rPr>
          <w:b/>
          <w:bCs/>
          <w:sz w:val="20"/>
          <w:szCs w:val="20"/>
        </w:rPr>
        <w:tab/>
        <w:t>REAL PROPERTY ACQUISITION</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b/>
          <w:bCs/>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I-1</w:t>
      </w:r>
      <w:r>
        <w:rPr>
          <w:sz w:val="20"/>
          <w:szCs w:val="20"/>
        </w:rPr>
        <w:tab/>
      </w:r>
      <w:r>
        <w:rPr>
          <w:sz w:val="20"/>
          <w:szCs w:val="20"/>
        </w:rPr>
        <w:tab/>
        <w:t>What costs of acquiring real property can I pay with grant or matching funds?</w:t>
      </w:r>
      <w:r>
        <w:rPr>
          <w:sz w:val="20"/>
          <w:szCs w:val="20"/>
        </w:rPr>
        <w:tab/>
        <w:t>25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I-2</w:t>
      </w:r>
      <w:r>
        <w:rPr>
          <w:sz w:val="20"/>
          <w:szCs w:val="20"/>
        </w:rPr>
        <w:tab/>
      </w:r>
      <w:r>
        <w:rPr>
          <w:sz w:val="20"/>
          <w:szCs w:val="20"/>
        </w:rPr>
        <w:tab/>
        <w:t>What are the legal prerequisites for acquiring land in a NAWCA project?</w:t>
      </w:r>
      <w:r>
        <w:rPr>
          <w:sz w:val="20"/>
          <w:szCs w:val="20"/>
        </w:rPr>
        <w:tab/>
        <w:t>27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I-3</w:t>
      </w:r>
      <w:r>
        <w:rPr>
          <w:sz w:val="20"/>
          <w:szCs w:val="20"/>
        </w:rPr>
        <w:tab/>
      </w:r>
      <w:r>
        <w:rPr>
          <w:sz w:val="20"/>
          <w:szCs w:val="20"/>
        </w:rPr>
        <w:tab/>
        <w:t>What are some of the important dates to keep in mind when acquiring land?</w:t>
      </w:r>
      <w:r>
        <w:rPr>
          <w:sz w:val="20"/>
          <w:szCs w:val="20"/>
        </w:rPr>
        <w:tab/>
        <w:t>27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I-4</w:t>
      </w:r>
      <w:r>
        <w:rPr>
          <w:sz w:val="20"/>
          <w:szCs w:val="20"/>
        </w:rPr>
        <w:tab/>
      </w:r>
      <w:r>
        <w:rPr>
          <w:sz w:val="20"/>
          <w:szCs w:val="20"/>
        </w:rPr>
        <w:tab/>
        <w:t>How do options, purchase agreements, and deeds differ?</w:t>
      </w:r>
      <w:r>
        <w:rPr>
          <w:sz w:val="20"/>
          <w:szCs w:val="20"/>
        </w:rPr>
        <w:tab/>
        <w:t>28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I-5</w:t>
      </w:r>
      <w:r>
        <w:rPr>
          <w:sz w:val="20"/>
          <w:szCs w:val="20"/>
        </w:rPr>
        <w:tab/>
      </w:r>
      <w:r>
        <w:rPr>
          <w:sz w:val="20"/>
          <w:szCs w:val="20"/>
        </w:rPr>
        <w:tab/>
        <w:t>What are the rules if I buy land for match before the USFWS receives the proposal?</w:t>
      </w:r>
      <w:r>
        <w:rPr>
          <w:sz w:val="20"/>
          <w:szCs w:val="20"/>
        </w:rPr>
        <w:tab/>
        <w:t>29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I-6</w:t>
      </w:r>
      <w:r>
        <w:rPr>
          <w:sz w:val="20"/>
          <w:szCs w:val="20"/>
        </w:rPr>
        <w:tab/>
      </w:r>
      <w:r>
        <w:rPr>
          <w:sz w:val="20"/>
          <w:szCs w:val="20"/>
        </w:rPr>
        <w:tab/>
        <w:t>Can I be reimbursed with Federal funds if I contractually commit to buy land before USFWS receives the proposal?</w:t>
      </w:r>
      <w:r>
        <w:rPr>
          <w:sz w:val="20"/>
          <w:szCs w:val="20"/>
        </w:rPr>
        <w:tab/>
        <w:t>32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I-7</w:t>
      </w:r>
      <w:r>
        <w:rPr>
          <w:sz w:val="20"/>
          <w:szCs w:val="20"/>
        </w:rPr>
        <w:tab/>
      </w:r>
      <w:r>
        <w:rPr>
          <w:sz w:val="20"/>
          <w:szCs w:val="20"/>
        </w:rPr>
        <w:tab/>
        <w:t>What if  I buy land with Federal or matching funds after USFWS receives the proposal?</w:t>
      </w:r>
      <w:r>
        <w:rPr>
          <w:sz w:val="20"/>
          <w:szCs w:val="20"/>
        </w:rPr>
        <w:tab/>
        <w:t>33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I-8</w:t>
      </w:r>
      <w:r>
        <w:rPr>
          <w:sz w:val="20"/>
          <w:szCs w:val="20"/>
        </w:rPr>
        <w:tab/>
      </w:r>
      <w:r>
        <w:rPr>
          <w:sz w:val="20"/>
          <w:szCs w:val="20"/>
        </w:rPr>
        <w:tab/>
        <w:t xml:space="preserve">What are the rules for any  purchase of land with Federal or matching funds that closes after USFWS receives the proposal and does </w:t>
      </w:r>
      <w:r>
        <w:rPr>
          <w:sz w:val="20"/>
          <w:szCs w:val="20"/>
          <w:u w:val="single"/>
        </w:rPr>
        <w:t>not</w:t>
      </w:r>
      <w:r>
        <w:rPr>
          <w:sz w:val="20"/>
          <w:szCs w:val="20"/>
        </w:rPr>
        <w:t xml:space="preserve"> qualify for the exception process?</w:t>
      </w:r>
      <w:r>
        <w:rPr>
          <w:sz w:val="20"/>
          <w:szCs w:val="20"/>
        </w:rPr>
        <w:tab/>
        <w:t>36</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720" w:hanging="540"/>
        <w:rPr>
          <w:sz w:val="20"/>
          <w:szCs w:val="20"/>
        </w:rPr>
      </w:pPr>
      <w:r>
        <w:rPr>
          <w:sz w:val="20"/>
          <w:szCs w:val="20"/>
        </w:rPr>
        <w:t>I-9</w:t>
      </w:r>
      <w:r>
        <w:rPr>
          <w:sz w:val="20"/>
          <w:szCs w:val="20"/>
        </w:rPr>
        <w:tab/>
      </w:r>
      <w:r>
        <w:rPr>
          <w:sz w:val="20"/>
          <w:szCs w:val="20"/>
        </w:rPr>
        <w:tab/>
        <w:t xml:space="preserve">If a third party acquires real property with the intention of ultimately conveying it to a NAWCA recipient or subrecipient </w:t>
      </w:r>
    </w:p>
    <w:p w:rsidR="001F0636" w:rsidRDefault="001F0636">
      <w:pPr>
        <w:tabs>
          <w:tab w:val="right" w:leader="dot" w:pos="10800"/>
        </w:tabs>
        <w:ind w:left="720"/>
        <w:rPr>
          <w:sz w:val="20"/>
          <w:szCs w:val="20"/>
        </w:rPr>
      </w:pPr>
      <w:r>
        <w:rPr>
          <w:sz w:val="20"/>
          <w:szCs w:val="20"/>
        </w:rPr>
        <w:t xml:space="preserve">for a NAWCA project, is the third party’s acquisition subject to the Uniform Relocation Assistance and Real Property Acquisition Policies Act of 1970? </w:t>
      </w:r>
      <w:r>
        <w:rPr>
          <w:sz w:val="20"/>
          <w:szCs w:val="20"/>
        </w:rPr>
        <w:tab/>
        <w:t>37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I-10</w:t>
      </w:r>
      <w:r>
        <w:rPr>
          <w:sz w:val="20"/>
          <w:szCs w:val="20"/>
        </w:rPr>
        <w:tab/>
        <w:t xml:space="preserve">If a third party acquires real property with the intention of ultimately conveying it to a NAWCA recipient or subrecipient     for a NAWCA project, is the third party entitled to the assistance and protections afforded to </w:t>
      </w:r>
      <w:r>
        <w:rPr>
          <w:sz w:val="20"/>
          <w:szCs w:val="20"/>
        </w:rPr>
        <w:lastRenderedPageBreak/>
        <w:t>displaced persons by the Uniform Relocation Assistance and Real Property Acquisition Policies Act of 1970 when it sells to the recipient or subrecipient?</w:t>
      </w:r>
      <w:r>
        <w:rPr>
          <w:sz w:val="20"/>
          <w:szCs w:val="20"/>
        </w:rPr>
        <w:tab/>
        <w:t>38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sz w:val="20"/>
          <w:szCs w:val="20"/>
        </w:rPr>
        <w:t>I-11</w:t>
      </w:r>
      <w:r>
        <w:rPr>
          <w:sz w:val="20"/>
          <w:szCs w:val="20"/>
        </w:rPr>
        <w:tab/>
      </w:r>
      <w:r>
        <w:rPr>
          <w:rFonts w:ascii="Sakkal Majalla" w:hAnsi="Sakkal Majalla" w:cs="Sakkal Majalla"/>
          <w:sz w:val="20"/>
          <w:szCs w:val="20"/>
        </w:rPr>
        <w:t>May I purchase land for more than the fair market value?</w:t>
      </w:r>
      <w:r>
        <w:rPr>
          <w:rFonts w:ascii="Times New Roman" w:hAnsi="Times New Roman" w:cs="Times New Roman"/>
          <w:sz w:val="20"/>
          <w:szCs w:val="20"/>
        </w:rPr>
        <w:tab/>
        <w:t>38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I-12</w:t>
      </w:r>
      <w:r>
        <w:rPr>
          <w:rFonts w:ascii="Times New Roman" w:hAnsi="Times New Roman" w:cs="Times New Roman"/>
          <w:sz w:val="20"/>
          <w:szCs w:val="20"/>
        </w:rPr>
        <w:tab/>
        <w:t>Can I base the market value of part of a tract of land on the average value of all the acres in the undivided tract?</w:t>
      </w:r>
      <w:r>
        <w:rPr>
          <w:rFonts w:ascii="Times New Roman" w:hAnsi="Times New Roman" w:cs="Times New Roman"/>
          <w:sz w:val="20"/>
          <w:szCs w:val="20"/>
        </w:rPr>
        <w:tab/>
        <w:t>39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I-13</w:t>
      </w:r>
      <w:r>
        <w:rPr>
          <w:rFonts w:ascii="Times New Roman" w:hAnsi="Times New Roman" w:cs="Times New Roman"/>
          <w:sz w:val="20"/>
          <w:szCs w:val="20"/>
        </w:rPr>
        <w:tab/>
        <w:t xml:space="preserve">May I buy land or offer it as match if it is subject to a Wetland Reserve easement or enrolled in the Conservation Reserve Program?   </w:t>
      </w:r>
      <w:r>
        <w:rPr>
          <w:rFonts w:ascii="Times New Roman" w:hAnsi="Times New Roman" w:cs="Times New Roman"/>
          <w:sz w:val="20"/>
          <w:szCs w:val="20"/>
        </w:rPr>
        <w:tab/>
        <w:t>39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I-14</w:t>
      </w:r>
      <w:r>
        <w:rPr>
          <w:rFonts w:ascii="Times New Roman" w:hAnsi="Times New Roman" w:cs="Times New Roman"/>
          <w:sz w:val="20"/>
          <w:szCs w:val="20"/>
        </w:rPr>
        <w:tab/>
        <w:t>Is a tenant eligible for relocation benefits when the tenant’s lease expires?</w:t>
      </w:r>
      <w:r>
        <w:rPr>
          <w:rFonts w:ascii="Times New Roman" w:hAnsi="Times New Roman" w:cs="Times New Roman"/>
          <w:sz w:val="20"/>
          <w:szCs w:val="20"/>
        </w:rPr>
        <w:tab/>
        <w:t>39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I-15</w:t>
      </w:r>
      <w:r>
        <w:rPr>
          <w:rFonts w:ascii="Times New Roman" w:hAnsi="Times New Roman" w:cs="Times New Roman"/>
          <w:sz w:val="20"/>
          <w:szCs w:val="20"/>
        </w:rPr>
        <w:tab/>
        <w:t>May a landowner evict a tenant after initiating negotiations with a buyer, but before committing to the sale?</w:t>
      </w:r>
      <w:r>
        <w:rPr>
          <w:rFonts w:ascii="Times New Roman" w:hAnsi="Times New Roman" w:cs="Times New Roman"/>
          <w:sz w:val="20"/>
          <w:szCs w:val="20"/>
        </w:rPr>
        <w:tab/>
        <w:t>40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I-16</w:t>
      </w:r>
      <w:r>
        <w:rPr>
          <w:rFonts w:ascii="Times New Roman" w:hAnsi="Times New Roman" w:cs="Times New Roman"/>
          <w:sz w:val="20"/>
          <w:szCs w:val="20"/>
        </w:rPr>
        <w:tab/>
        <w:t>What is a Notice of Property Restriction?</w:t>
      </w:r>
      <w:r>
        <w:rPr>
          <w:rFonts w:ascii="Times New Roman" w:hAnsi="Times New Roman" w:cs="Times New Roman"/>
          <w:sz w:val="20"/>
          <w:szCs w:val="20"/>
        </w:rPr>
        <w:tab/>
        <w:t>40</w:t>
      </w:r>
    </w:p>
    <w:p w:rsidR="001F0636" w:rsidRDefault="001F0636">
      <w:pPr>
        <w:tabs>
          <w:tab w:val="right" w:leader="dot" w:pos="10800"/>
        </w:tabs>
        <w:ind w:left="180"/>
        <w:rPr>
          <w:rFonts w:ascii="Times New Roman" w:hAnsi="Times New Roman" w:cs="Times New Roman"/>
          <w:sz w:val="20"/>
          <w:szCs w:val="20"/>
        </w:rPr>
      </w:pPr>
      <w:r>
        <w:rPr>
          <w:rFonts w:ascii="Times New Roman" w:hAnsi="Times New Roman" w:cs="Times New Roman"/>
          <w:sz w:val="20"/>
          <w:szCs w:val="20"/>
        </w:rPr>
        <w:t>I-17.   May the Notice of Property Restriction reference more than one of the interests in real property acquired in the project?</w:t>
      </w:r>
      <w:r>
        <w:rPr>
          <w:rFonts w:ascii="Times New Roman" w:hAnsi="Times New Roman" w:cs="Times New Roman"/>
          <w:sz w:val="20"/>
          <w:szCs w:val="20"/>
        </w:rPr>
        <w:tab/>
        <w:t>41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I-18</w:t>
      </w:r>
      <w:r>
        <w:rPr>
          <w:rFonts w:ascii="Times New Roman" w:hAnsi="Times New Roman" w:cs="Times New Roman"/>
          <w:sz w:val="20"/>
          <w:szCs w:val="20"/>
        </w:rPr>
        <w:tab/>
        <w:t>How do I obtain a waiver from NAWCA land acquisition requirements?</w:t>
      </w:r>
      <w:r>
        <w:rPr>
          <w:rFonts w:ascii="Times New Roman" w:hAnsi="Times New Roman" w:cs="Times New Roman"/>
          <w:sz w:val="20"/>
          <w:szCs w:val="20"/>
        </w:rPr>
        <w:tab/>
        <w:t>41</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J.</w:t>
      </w:r>
      <w:r>
        <w:rPr>
          <w:rFonts w:ascii="Times New Roman" w:hAnsi="Times New Roman" w:cs="Times New Roman"/>
          <w:b/>
          <w:bCs/>
          <w:sz w:val="20"/>
          <w:szCs w:val="20"/>
        </w:rPr>
        <w:tab/>
        <w:t>REAL PROPERTY DISPOSITION</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J-1.</w:t>
      </w:r>
      <w:r>
        <w:rPr>
          <w:rFonts w:ascii="Times New Roman" w:hAnsi="Times New Roman" w:cs="Times New Roman"/>
          <w:sz w:val="20"/>
          <w:szCs w:val="20"/>
        </w:rPr>
        <w:tab/>
      </w:r>
      <w:r>
        <w:rPr>
          <w:rFonts w:ascii="Times New Roman" w:hAnsi="Times New Roman" w:cs="Times New Roman"/>
          <w:sz w:val="20"/>
          <w:szCs w:val="20"/>
        </w:rPr>
        <w:tab/>
        <w:t>If I acquire real property under a NAWCA grant, can I manage it as I see fit?</w:t>
      </w:r>
      <w:r>
        <w:rPr>
          <w:rFonts w:ascii="Times New Roman" w:hAnsi="Times New Roman" w:cs="Times New Roman"/>
          <w:sz w:val="20"/>
          <w:szCs w:val="20"/>
        </w:rPr>
        <w:tab/>
        <w:t>42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J-2</w:t>
      </w:r>
      <w:r>
        <w:rPr>
          <w:rFonts w:ascii="Times New Roman" w:hAnsi="Times New Roman" w:cs="Times New Roman"/>
          <w:sz w:val="20"/>
          <w:szCs w:val="20"/>
        </w:rPr>
        <w:tab/>
      </w:r>
      <w:r>
        <w:rPr>
          <w:rFonts w:ascii="Times New Roman" w:hAnsi="Times New Roman" w:cs="Times New Roman"/>
          <w:sz w:val="20"/>
          <w:szCs w:val="20"/>
        </w:rPr>
        <w:tab/>
        <w:t>Who determines when real property is no longer needed for the project’s authorized purpose?</w:t>
      </w:r>
      <w:r>
        <w:rPr>
          <w:rFonts w:ascii="Times New Roman" w:hAnsi="Times New Roman" w:cs="Times New Roman"/>
          <w:sz w:val="20"/>
          <w:szCs w:val="20"/>
        </w:rPr>
        <w:tab/>
        <w:t>42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J-3</w:t>
      </w:r>
      <w:r>
        <w:rPr>
          <w:rFonts w:ascii="Times New Roman" w:hAnsi="Times New Roman" w:cs="Times New Roman"/>
          <w:sz w:val="20"/>
          <w:szCs w:val="20"/>
        </w:rPr>
        <w:tab/>
      </w:r>
      <w:r>
        <w:rPr>
          <w:rFonts w:ascii="Times New Roman" w:hAnsi="Times New Roman" w:cs="Times New Roman"/>
          <w:sz w:val="20"/>
          <w:szCs w:val="20"/>
        </w:rPr>
        <w:tab/>
        <w:t>May I encumber, sell, or transfer some or all of the interests in land acquired in a NAWCA Project?</w:t>
      </w:r>
      <w:r>
        <w:rPr>
          <w:rFonts w:ascii="Times New Roman" w:hAnsi="Times New Roman" w:cs="Times New Roman"/>
          <w:sz w:val="20"/>
          <w:szCs w:val="20"/>
        </w:rPr>
        <w:tab/>
        <w:t>42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J-4.</w:t>
      </w:r>
      <w:r>
        <w:rPr>
          <w:rFonts w:ascii="Times New Roman" w:hAnsi="Times New Roman" w:cs="Times New Roman"/>
          <w:sz w:val="20"/>
          <w:szCs w:val="20"/>
        </w:rPr>
        <w:tab/>
      </w:r>
      <w:r>
        <w:rPr>
          <w:rFonts w:ascii="Times New Roman" w:hAnsi="Times New Roman" w:cs="Times New Roman"/>
          <w:sz w:val="20"/>
          <w:szCs w:val="20"/>
        </w:rPr>
        <w:tab/>
        <w:t>How do I get  permission to encumber, sell, or transfer interests in land acquired in a NAWCA project?</w:t>
      </w:r>
      <w:r>
        <w:rPr>
          <w:rFonts w:ascii="Times New Roman" w:hAnsi="Times New Roman" w:cs="Times New Roman"/>
          <w:sz w:val="20"/>
          <w:szCs w:val="20"/>
        </w:rPr>
        <w:tab/>
        <w:t>44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J-5</w:t>
      </w:r>
      <w:r>
        <w:rPr>
          <w:rFonts w:ascii="Times New Roman" w:hAnsi="Times New Roman" w:cs="Times New Roman"/>
          <w:sz w:val="20"/>
          <w:szCs w:val="20"/>
        </w:rPr>
        <w:tab/>
      </w:r>
      <w:r>
        <w:rPr>
          <w:rFonts w:ascii="Times New Roman" w:hAnsi="Times New Roman" w:cs="Times New Roman"/>
          <w:sz w:val="20"/>
          <w:szCs w:val="20"/>
        </w:rPr>
        <w:tab/>
        <w:t>How long will I be required to get  permission to manage for a different purpose or to encumber, sell, or transfer interests in land acquired in a NAWCA project?</w:t>
      </w:r>
      <w:r>
        <w:rPr>
          <w:rFonts w:ascii="Times New Roman" w:hAnsi="Times New Roman" w:cs="Times New Roman"/>
          <w:sz w:val="20"/>
          <w:szCs w:val="20"/>
        </w:rPr>
        <w:tab/>
        <w:t>44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J-6</w:t>
      </w:r>
      <w:r>
        <w:rPr>
          <w:rFonts w:ascii="Times New Roman" w:hAnsi="Times New Roman" w:cs="Times New Roman"/>
          <w:sz w:val="20"/>
          <w:szCs w:val="20"/>
        </w:rPr>
        <w:tab/>
      </w:r>
      <w:r>
        <w:rPr>
          <w:rFonts w:ascii="Times New Roman" w:hAnsi="Times New Roman" w:cs="Times New Roman"/>
          <w:sz w:val="20"/>
          <w:szCs w:val="20"/>
        </w:rPr>
        <w:tab/>
        <w:t>Will information be available in the distant future to determine the Federal share of an interest in real property?</w:t>
      </w:r>
      <w:r>
        <w:rPr>
          <w:rFonts w:ascii="Times New Roman" w:hAnsi="Times New Roman" w:cs="Times New Roman"/>
          <w:sz w:val="20"/>
          <w:szCs w:val="20"/>
        </w:rPr>
        <w:tab/>
        <w:t>44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J-7</w:t>
      </w:r>
      <w:r>
        <w:rPr>
          <w:rFonts w:ascii="Times New Roman" w:hAnsi="Times New Roman" w:cs="Times New Roman"/>
          <w:sz w:val="20"/>
          <w:szCs w:val="20"/>
        </w:rPr>
        <w:tab/>
      </w:r>
      <w:r>
        <w:rPr>
          <w:rFonts w:ascii="Times New Roman" w:hAnsi="Times New Roman" w:cs="Times New Roman"/>
          <w:sz w:val="20"/>
          <w:szCs w:val="20"/>
        </w:rPr>
        <w:tab/>
        <w:t>Do I have to request permission to sell an easement on land acquired in a NAWCA project to the U.S. Department of Agriculture for the Wetland Reserve Program or enroll land in the Conservation Reserve Program?</w:t>
      </w:r>
      <w:r>
        <w:rPr>
          <w:rFonts w:ascii="Times New Roman" w:hAnsi="Times New Roman" w:cs="Times New Roman"/>
          <w:sz w:val="20"/>
          <w:szCs w:val="20"/>
        </w:rPr>
        <w:tab/>
        <w:t>44</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K.</w:t>
      </w:r>
      <w:r>
        <w:rPr>
          <w:rFonts w:ascii="Times New Roman" w:hAnsi="Times New Roman" w:cs="Times New Roman"/>
          <w:b/>
          <w:bCs/>
          <w:sz w:val="20"/>
          <w:szCs w:val="20"/>
        </w:rPr>
        <w:tab/>
        <w:t>SPECIAL PROVISIONS APPLICABLE TO ALL GRANTS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K-1</w:t>
      </w:r>
      <w:r>
        <w:rPr>
          <w:rFonts w:ascii="Times New Roman" w:hAnsi="Times New Roman" w:cs="Times New Roman"/>
          <w:sz w:val="20"/>
          <w:szCs w:val="20"/>
        </w:rPr>
        <w:tab/>
      </w:r>
      <w:r>
        <w:rPr>
          <w:rFonts w:ascii="Times New Roman" w:hAnsi="Times New Roman" w:cs="Times New Roman"/>
          <w:sz w:val="20"/>
          <w:szCs w:val="20"/>
        </w:rPr>
        <w:tab/>
        <w:t>Do I have to get permission to issue news releases or publish anything about the project?</w:t>
      </w:r>
      <w:r>
        <w:rPr>
          <w:rFonts w:ascii="Times New Roman" w:hAnsi="Times New Roman" w:cs="Times New Roman"/>
          <w:sz w:val="20"/>
          <w:szCs w:val="20"/>
        </w:rPr>
        <w:tab/>
        <w:t>45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K-2</w:t>
      </w:r>
      <w:r>
        <w:rPr>
          <w:rFonts w:ascii="Times New Roman" w:hAnsi="Times New Roman" w:cs="Times New Roman"/>
          <w:sz w:val="20"/>
          <w:szCs w:val="20"/>
        </w:rPr>
        <w:tab/>
      </w:r>
      <w:r>
        <w:rPr>
          <w:rFonts w:ascii="Times New Roman" w:hAnsi="Times New Roman" w:cs="Times New Roman"/>
          <w:sz w:val="20"/>
          <w:szCs w:val="20"/>
        </w:rPr>
        <w:tab/>
        <w:t>What are the rules on the purchase of American-made products with Federal grant funds?</w:t>
      </w:r>
      <w:r>
        <w:rPr>
          <w:rFonts w:ascii="Times New Roman" w:hAnsi="Times New Roman" w:cs="Times New Roman"/>
          <w:sz w:val="20"/>
          <w:szCs w:val="20"/>
        </w:rPr>
        <w:tab/>
        <w:t>45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K-3</w:t>
      </w:r>
      <w:r>
        <w:rPr>
          <w:rFonts w:ascii="Times New Roman" w:hAnsi="Times New Roman" w:cs="Times New Roman"/>
          <w:sz w:val="20"/>
          <w:szCs w:val="20"/>
        </w:rPr>
        <w:tab/>
      </w:r>
      <w:r>
        <w:rPr>
          <w:rFonts w:ascii="Times New Roman" w:hAnsi="Times New Roman" w:cs="Times New Roman"/>
          <w:sz w:val="20"/>
          <w:szCs w:val="20"/>
        </w:rPr>
        <w:tab/>
        <w:t>What certifications and assurances must I send to the USFWS before receiving an award?</w:t>
      </w:r>
      <w:r>
        <w:rPr>
          <w:rFonts w:ascii="Times New Roman" w:hAnsi="Times New Roman" w:cs="Times New Roman"/>
          <w:sz w:val="20"/>
          <w:szCs w:val="20"/>
        </w:rPr>
        <w:tab/>
        <w:t>45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K-4</w:t>
      </w:r>
      <w:r>
        <w:rPr>
          <w:rFonts w:ascii="Times New Roman" w:hAnsi="Times New Roman" w:cs="Times New Roman"/>
          <w:sz w:val="20"/>
          <w:szCs w:val="20"/>
        </w:rPr>
        <w:tab/>
      </w:r>
      <w:r>
        <w:rPr>
          <w:rFonts w:ascii="Times New Roman" w:hAnsi="Times New Roman" w:cs="Times New Roman"/>
          <w:sz w:val="20"/>
          <w:szCs w:val="20"/>
        </w:rPr>
        <w:tab/>
        <w:t>What do I have to do as a result of Executive Order 13043, “Increasing Seat Belt Use in the United States”?</w:t>
      </w:r>
      <w:r>
        <w:rPr>
          <w:rFonts w:ascii="Times New Roman" w:hAnsi="Times New Roman" w:cs="Times New Roman"/>
          <w:sz w:val="20"/>
          <w:szCs w:val="20"/>
        </w:rPr>
        <w:tab/>
        <w:t>46</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L.</w:t>
      </w:r>
      <w:r>
        <w:rPr>
          <w:rFonts w:ascii="Times New Roman" w:hAnsi="Times New Roman" w:cs="Times New Roman"/>
          <w:b/>
          <w:bCs/>
          <w:sz w:val="20"/>
          <w:szCs w:val="20"/>
        </w:rPr>
        <w:tab/>
        <w:t>MODIFICATIONS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sectPr w:rsidR="001F0636">
          <w:type w:val="continuous"/>
          <w:pgSz w:w="12240" w:h="15840"/>
          <w:pgMar w:top="720" w:right="720" w:bottom="720" w:left="720" w:header="720" w:footer="720" w:gutter="0"/>
          <w:cols w:space="720"/>
          <w:noEndnote/>
        </w:sect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lastRenderedPageBreak/>
        <w:t>L-1</w:t>
      </w:r>
      <w:r>
        <w:rPr>
          <w:rFonts w:ascii="Times New Roman" w:hAnsi="Times New Roman" w:cs="Times New Roman"/>
          <w:sz w:val="20"/>
          <w:szCs w:val="20"/>
        </w:rPr>
        <w:tab/>
      </w:r>
      <w:r>
        <w:rPr>
          <w:rFonts w:ascii="Times New Roman" w:hAnsi="Times New Roman" w:cs="Times New Roman"/>
          <w:sz w:val="20"/>
          <w:szCs w:val="20"/>
        </w:rPr>
        <w:tab/>
        <w:t>Do I have to get prior approval to do something different than what is in the final proposal or grant agreement?</w:t>
      </w:r>
      <w:r>
        <w:rPr>
          <w:rFonts w:ascii="Times New Roman" w:hAnsi="Times New Roman" w:cs="Times New Roman"/>
          <w:sz w:val="20"/>
          <w:szCs w:val="20"/>
        </w:rPr>
        <w:tab/>
        <w:t>46</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L-2</w:t>
      </w:r>
      <w:r>
        <w:rPr>
          <w:rFonts w:ascii="Times New Roman" w:hAnsi="Times New Roman" w:cs="Times New Roman"/>
          <w:sz w:val="20"/>
          <w:szCs w:val="20"/>
        </w:rPr>
        <w:tab/>
      </w:r>
      <w:r>
        <w:rPr>
          <w:rFonts w:ascii="Times New Roman" w:hAnsi="Times New Roman" w:cs="Times New Roman"/>
          <w:sz w:val="20"/>
          <w:szCs w:val="20"/>
        </w:rPr>
        <w:tab/>
        <w:t>How do I get prior approval for a change in the proposal or grant agreement?</w:t>
      </w:r>
      <w:r>
        <w:rPr>
          <w:rFonts w:ascii="Times New Roman" w:hAnsi="Times New Roman" w:cs="Times New Roman"/>
          <w:sz w:val="20"/>
          <w:szCs w:val="20"/>
        </w:rPr>
        <w:tab/>
        <w:t>47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L-3</w:t>
      </w:r>
      <w:r>
        <w:rPr>
          <w:rFonts w:ascii="Times New Roman" w:hAnsi="Times New Roman" w:cs="Times New Roman"/>
          <w:sz w:val="20"/>
          <w:szCs w:val="20"/>
        </w:rPr>
        <w:tab/>
      </w:r>
      <w:r>
        <w:rPr>
          <w:rFonts w:ascii="Times New Roman" w:hAnsi="Times New Roman" w:cs="Times New Roman"/>
          <w:sz w:val="20"/>
          <w:szCs w:val="20"/>
        </w:rPr>
        <w:tab/>
        <w:t>Why do I have to get prior approval for newly identified sites if the project was approved without sites being identified?</w:t>
      </w:r>
      <w:r>
        <w:rPr>
          <w:rFonts w:ascii="Times New Roman" w:hAnsi="Times New Roman" w:cs="Times New Roman"/>
          <w:sz w:val="20"/>
          <w:szCs w:val="20"/>
        </w:rPr>
        <w:tab/>
        <w:t>48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L-4</w:t>
      </w:r>
      <w:r>
        <w:rPr>
          <w:rFonts w:ascii="Times New Roman" w:hAnsi="Times New Roman" w:cs="Times New Roman"/>
          <w:sz w:val="20"/>
          <w:szCs w:val="20"/>
        </w:rPr>
        <w:tab/>
      </w:r>
      <w:r>
        <w:rPr>
          <w:rFonts w:ascii="Times New Roman" w:hAnsi="Times New Roman" w:cs="Times New Roman"/>
          <w:sz w:val="20"/>
          <w:szCs w:val="20"/>
        </w:rPr>
        <w:tab/>
        <w:t>How do I comply with the legal prerequisites for newly identified sites?</w:t>
      </w:r>
      <w:r>
        <w:rPr>
          <w:rFonts w:ascii="Times New Roman" w:hAnsi="Times New Roman" w:cs="Times New Roman"/>
          <w:sz w:val="20"/>
          <w:szCs w:val="20"/>
        </w:rPr>
        <w:tab/>
        <w:t>47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L-5</w:t>
      </w:r>
      <w:r>
        <w:rPr>
          <w:rFonts w:ascii="Times New Roman" w:hAnsi="Times New Roman" w:cs="Times New Roman"/>
          <w:sz w:val="20"/>
          <w:szCs w:val="20"/>
        </w:rPr>
        <w:tab/>
      </w:r>
      <w:r>
        <w:rPr>
          <w:rFonts w:ascii="Times New Roman" w:hAnsi="Times New Roman" w:cs="Times New Roman"/>
          <w:sz w:val="20"/>
          <w:szCs w:val="20"/>
        </w:rPr>
        <w:tab/>
        <w:t>If I run short of funds, may I request an increase in the Federal funds awarded for the project?</w:t>
      </w:r>
      <w:r>
        <w:rPr>
          <w:rFonts w:ascii="Times New Roman" w:hAnsi="Times New Roman" w:cs="Times New Roman"/>
          <w:sz w:val="20"/>
          <w:szCs w:val="20"/>
        </w:rPr>
        <w:tab/>
        <w:t>48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L-6</w:t>
      </w:r>
      <w:r>
        <w:rPr>
          <w:rFonts w:ascii="Times New Roman" w:hAnsi="Times New Roman" w:cs="Times New Roman"/>
          <w:sz w:val="20"/>
          <w:szCs w:val="20"/>
        </w:rPr>
        <w:tab/>
      </w:r>
      <w:r>
        <w:rPr>
          <w:rFonts w:ascii="Times New Roman" w:hAnsi="Times New Roman" w:cs="Times New Roman"/>
          <w:sz w:val="20"/>
          <w:szCs w:val="20"/>
        </w:rPr>
        <w:tab/>
        <w:t>How do I extend the funding period the first time? .</w:t>
      </w:r>
      <w:r>
        <w:rPr>
          <w:rFonts w:ascii="Times New Roman" w:hAnsi="Times New Roman" w:cs="Times New Roman"/>
          <w:sz w:val="20"/>
          <w:szCs w:val="20"/>
        </w:rPr>
        <w:tab/>
        <w:t>48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L-7</w:t>
      </w:r>
      <w:r>
        <w:rPr>
          <w:rFonts w:ascii="Times New Roman" w:hAnsi="Times New Roman" w:cs="Times New Roman"/>
          <w:sz w:val="20"/>
          <w:szCs w:val="20"/>
        </w:rPr>
        <w:tab/>
      </w:r>
      <w:r>
        <w:rPr>
          <w:rFonts w:ascii="Times New Roman" w:hAnsi="Times New Roman" w:cs="Times New Roman"/>
          <w:sz w:val="20"/>
          <w:szCs w:val="20"/>
        </w:rPr>
        <w:tab/>
        <w:t>May I request a funding-period extension of more than 12 months?</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L-8</w:t>
      </w:r>
      <w:r>
        <w:rPr>
          <w:rFonts w:ascii="Times New Roman" w:hAnsi="Times New Roman" w:cs="Times New Roman"/>
          <w:sz w:val="20"/>
          <w:szCs w:val="20"/>
        </w:rPr>
        <w:tab/>
      </w:r>
      <w:r>
        <w:rPr>
          <w:rFonts w:ascii="Times New Roman" w:hAnsi="Times New Roman" w:cs="Times New Roman"/>
          <w:sz w:val="20"/>
          <w:szCs w:val="20"/>
        </w:rPr>
        <w:tab/>
        <w:t>How many funding-period extensions are possible under a NAWCA grant?</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L-9</w:t>
      </w:r>
      <w:r>
        <w:rPr>
          <w:rFonts w:ascii="Times New Roman" w:hAnsi="Times New Roman" w:cs="Times New Roman"/>
          <w:sz w:val="20"/>
          <w:szCs w:val="20"/>
        </w:rPr>
        <w:tab/>
      </w:r>
      <w:r>
        <w:rPr>
          <w:rFonts w:ascii="Times New Roman" w:hAnsi="Times New Roman" w:cs="Times New Roman"/>
          <w:sz w:val="20"/>
          <w:szCs w:val="20"/>
        </w:rPr>
        <w:tab/>
        <w:t>Isn’t it the responsibility of the USFWS to notify me when the funding period is about to expire?</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L-10</w:t>
      </w:r>
      <w:r>
        <w:rPr>
          <w:rFonts w:ascii="Times New Roman" w:hAnsi="Times New Roman" w:cs="Times New Roman"/>
          <w:sz w:val="20"/>
          <w:szCs w:val="20"/>
        </w:rPr>
        <w:tab/>
        <w:t>After the funding period expires, may I be reimbursed for project costs that I incurred during the funding period?</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L-11</w:t>
      </w:r>
      <w:r>
        <w:rPr>
          <w:rFonts w:ascii="Times New Roman" w:hAnsi="Times New Roman" w:cs="Times New Roman"/>
          <w:sz w:val="20"/>
          <w:szCs w:val="20"/>
        </w:rPr>
        <w:tab/>
        <w:t>How will USFWS decide on a request to decrease acres in the responses to Technical Assessment Questions 4 and 5?</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L-12</w:t>
      </w:r>
      <w:r>
        <w:rPr>
          <w:rFonts w:ascii="Times New Roman" w:hAnsi="Times New Roman" w:cs="Times New Roman"/>
          <w:sz w:val="20"/>
          <w:szCs w:val="20"/>
        </w:rPr>
        <w:tab/>
        <w:t>Do I have to obtain prior written approval to change my project officer?</w:t>
      </w:r>
      <w:r>
        <w:rPr>
          <w:rFonts w:ascii="Times New Roman" w:hAnsi="Times New Roman" w:cs="Times New Roman"/>
          <w:sz w:val="20"/>
          <w:szCs w:val="20"/>
        </w:rPr>
        <w:tab/>
        <w:t>51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L-13</w:t>
      </w:r>
      <w:r>
        <w:rPr>
          <w:rFonts w:ascii="Times New Roman" w:hAnsi="Times New Roman" w:cs="Times New Roman"/>
          <w:sz w:val="20"/>
          <w:szCs w:val="20"/>
        </w:rPr>
        <w:tab/>
        <w:t>Does the USFWS have to be notified of a new project officer by any minimum period before the appointment?</w:t>
      </w:r>
      <w:r>
        <w:rPr>
          <w:rFonts w:ascii="Times New Roman" w:hAnsi="Times New Roman" w:cs="Times New Roman"/>
          <w:sz w:val="20"/>
          <w:szCs w:val="20"/>
        </w:rPr>
        <w:tab/>
        <w:t>51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L-14</w:t>
      </w:r>
      <w:r>
        <w:rPr>
          <w:rFonts w:ascii="Times New Roman" w:hAnsi="Times New Roman" w:cs="Times New Roman"/>
          <w:sz w:val="20"/>
          <w:szCs w:val="20"/>
        </w:rPr>
        <w:tab/>
        <w:t>Can the USFWS grant officer make an exception to this Policy and the grant administration regulations?</w:t>
      </w:r>
      <w:r>
        <w:rPr>
          <w:rFonts w:ascii="Times New Roman" w:hAnsi="Times New Roman" w:cs="Times New Roman"/>
          <w:sz w:val="20"/>
          <w:szCs w:val="20"/>
        </w:rPr>
        <w:tab/>
        <w:t>52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L-15</w:t>
      </w:r>
      <w:r>
        <w:rPr>
          <w:rFonts w:ascii="Times New Roman" w:hAnsi="Times New Roman" w:cs="Times New Roman"/>
          <w:sz w:val="20"/>
          <w:szCs w:val="20"/>
        </w:rPr>
        <w:tab/>
        <w:t>May I accomplish more acres than originally approved?</w:t>
      </w:r>
      <w:r>
        <w:rPr>
          <w:rFonts w:ascii="Times New Roman" w:hAnsi="Times New Roman" w:cs="Times New Roman"/>
          <w:sz w:val="20"/>
          <w:szCs w:val="20"/>
        </w:rPr>
        <w:tab/>
        <w:t xml:space="preserve"> 52</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M.</w:t>
      </w:r>
      <w:r>
        <w:rPr>
          <w:rFonts w:ascii="Times New Roman" w:hAnsi="Times New Roman" w:cs="Times New Roman"/>
          <w:b/>
          <w:bCs/>
          <w:sz w:val="20"/>
          <w:szCs w:val="20"/>
        </w:rPr>
        <w:tab/>
        <w:t>REMEDIES FOR NONCOMPLIANCE</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w:t>
      </w:r>
      <w:r>
        <w:rPr>
          <w:rFonts w:ascii="Times New Roman" w:hAnsi="Times New Roman" w:cs="Times New Roman"/>
          <w:sz w:val="20"/>
          <w:szCs w:val="20"/>
        </w:rPr>
        <w:tab/>
        <w:t>What will I have to demonstrate that I accomplished by the end of the funding period?</w:t>
      </w:r>
      <w:r>
        <w:rPr>
          <w:rFonts w:ascii="Times New Roman" w:hAnsi="Times New Roman" w:cs="Times New Roman"/>
          <w:sz w:val="20"/>
          <w:szCs w:val="20"/>
        </w:rPr>
        <w:tab/>
        <w:t>52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M-2</w:t>
      </w:r>
      <w:r>
        <w:rPr>
          <w:rFonts w:ascii="Times New Roman" w:hAnsi="Times New Roman" w:cs="Times New Roman"/>
          <w:sz w:val="20"/>
          <w:szCs w:val="20"/>
        </w:rPr>
        <w:tab/>
        <w:t xml:space="preserve">What are the potential consequences of a failure to comply with the terms of an award? </w:t>
      </w:r>
      <w:r>
        <w:rPr>
          <w:rFonts w:ascii="Times New Roman" w:hAnsi="Times New Roman" w:cs="Times New Roman"/>
          <w:sz w:val="20"/>
          <w:szCs w:val="20"/>
        </w:rPr>
        <w:tab/>
        <w:t>53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M-3</w:t>
      </w:r>
      <w:r>
        <w:rPr>
          <w:rFonts w:ascii="Times New Roman" w:hAnsi="Times New Roman" w:cs="Times New Roman"/>
          <w:sz w:val="20"/>
          <w:szCs w:val="20"/>
        </w:rPr>
        <w:tab/>
        <w:t>What criteria will the USFWS use to determine a remedy for a failure to comply with the terms of an award?</w:t>
      </w:r>
      <w:r>
        <w:rPr>
          <w:rFonts w:ascii="Times New Roman" w:hAnsi="Times New Roman" w:cs="Times New Roman"/>
          <w:sz w:val="20"/>
          <w:szCs w:val="20"/>
        </w:rPr>
        <w:tab/>
        <w:t>54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M-4</w:t>
      </w:r>
      <w:r>
        <w:rPr>
          <w:rFonts w:ascii="Times New Roman" w:hAnsi="Times New Roman" w:cs="Times New Roman"/>
          <w:sz w:val="20"/>
          <w:szCs w:val="20"/>
        </w:rPr>
        <w:tab/>
        <w:t>How will the USFWS determine when willfulness is a factor in a recipient’s failure to comply?</w:t>
      </w:r>
      <w:r>
        <w:rPr>
          <w:rFonts w:ascii="Times New Roman" w:hAnsi="Times New Roman" w:cs="Times New Roman"/>
          <w:sz w:val="20"/>
          <w:szCs w:val="20"/>
        </w:rPr>
        <w:tab/>
        <w:t>54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M-5</w:t>
      </w:r>
      <w:r>
        <w:rPr>
          <w:rFonts w:ascii="Times New Roman" w:hAnsi="Times New Roman" w:cs="Times New Roman"/>
          <w:sz w:val="20"/>
          <w:szCs w:val="20"/>
        </w:rPr>
        <w:tab/>
        <w:t xml:space="preserve">What are the grounds for debarment and suspension? </w:t>
      </w:r>
      <w:r>
        <w:rPr>
          <w:rFonts w:ascii="Times New Roman" w:hAnsi="Times New Roman" w:cs="Times New Roman"/>
          <w:sz w:val="20"/>
          <w:szCs w:val="20"/>
        </w:rPr>
        <w:tab/>
        <w:t>54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M-6</w:t>
      </w:r>
      <w:r>
        <w:rPr>
          <w:rFonts w:ascii="Times New Roman" w:hAnsi="Times New Roman" w:cs="Times New Roman"/>
          <w:sz w:val="20"/>
          <w:szCs w:val="20"/>
        </w:rPr>
        <w:tab/>
        <w:t>What happens if I do not submit a Financial Status Report or a performance report by the due date?</w:t>
      </w:r>
      <w:r>
        <w:rPr>
          <w:rFonts w:ascii="Times New Roman" w:hAnsi="Times New Roman" w:cs="Times New Roman"/>
          <w:b/>
          <w:bCs/>
          <w:sz w:val="20"/>
          <w:szCs w:val="20"/>
        </w:rPr>
        <w:t xml:space="preserve"> </w:t>
      </w:r>
      <w:r>
        <w:rPr>
          <w:rFonts w:ascii="Times New Roman" w:hAnsi="Times New Roman" w:cs="Times New Roman"/>
          <w:sz w:val="20"/>
          <w:szCs w:val="20"/>
        </w:rPr>
        <w:tab/>
        <w:t>55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M-7</w:t>
      </w:r>
      <w:r>
        <w:rPr>
          <w:rFonts w:ascii="Times New Roman" w:hAnsi="Times New Roman" w:cs="Times New Roman"/>
          <w:sz w:val="20"/>
          <w:szCs w:val="20"/>
        </w:rPr>
        <w:tab/>
        <w:t>What happens if I do not accomplish all the wetland acres in my response to Technical Assessment Question 4?</w:t>
      </w:r>
      <w:r>
        <w:rPr>
          <w:rFonts w:ascii="Times New Roman" w:hAnsi="Times New Roman" w:cs="Times New Roman"/>
          <w:sz w:val="20"/>
          <w:szCs w:val="20"/>
        </w:rPr>
        <w:tab/>
        <w:t>56</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M-8</w:t>
      </w:r>
      <w:r>
        <w:rPr>
          <w:rFonts w:ascii="Times New Roman" w:hAnsi="Times New Roman" w:cs="Times New Roman"/>
          <w:sz w:val="20"/>
          <w:szCs w:val="20"/>
        </w:rPr>
        <w:tab/>
        <w:t>What constitutes a material failure to accomplish the wetland acres in my response to Technical Assessment Question 4?</w:t>
      </w:r>
      <w:r>
        <w:rPr>
          <w:rFonts w:ascii="Times New Roman" w:hAnsi="Times New Roman" w:cs="Times New Roman"/>
          <w:sz w:val="20"/>
          <w:szCs w:val="20"/>
        </w:rPr>
        <w:tab/>
        <w:t>57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lastRenderedPageBreak/>
        <w:t>M-9</w:t>
      </w:r>
      <w:r>
        <w:rPr>
          <w:rFonts w:ascii="Times New Roman" w:hAnsi="Times New Roman" w:cs="Times New Roman"/>
          <w:sz w:val="20"/>
          <w:szCs w:val="20"/>
        </w:rPr>
        <w:tab/>
        <w:t>What happens if I do not accomplish all the acres in my response to Technical Assessment Question 5?</w:t>
      </w:r>
      <w:r>
        <w:rPr>
          <w:rFonts w:ascii="Times New Roman" w:hAnsi="Times New Roman" w:cs="Times New Roman"/>
          <w:sz w:val="20"/>
          <w:szCs w:val="20"/>
        </w:rPr>
        <w:tab/>
        <w:t>57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M-10</w:t>
      </w:r>
      <w:r>
        <w:rPr>
          <w:rFonts w:ascii="Times New Roman" w:hAnsi="Times New Roman" w:cs="Times New Roman"/>
          <w:sz w:val="20"/>
          <w:szCs w:val="20"/>
        </w:rPr>
        <w:tab/>
        <w:t>What guidelines will the USFWS use to decide if the grant will be reduced if acreage objectives are not accomplished?</w:t>
      </w:r>
      <w:r>
        <w:rPr>
          <w:rFonts w:ascii="Times New Roman" w:hAnsi="Times New Roman" w:cs="Times New Roman"/>
          <w:sz w:val="20"/>
          <w:szCs w:val="20"/>
        </w:rPr>
        <w:tab/>
        <w:t>57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M-11</w:t>
      </w:r>
      <w:r>
        <w:rPr>
          <w:rFonts w:ascii="Times New Roman" w:hAnsi="Times New Roman" w:cs="Times New Roman"/>
          <w:sz w:val="20"/>
          <w:szCs w:val="20"/>
        </w:rPr>
        <w:tab/>
        <w:t>How will the USFWS reduce a grant if personnel and contract costs cannot be accurately allocated between acres to be acquired and acres to be restored, enhanced, or created as wetlands?</w:t>
      </w:r>
      <w:r>
        <w:rPr>
          <w:rFonts w:ascii="Times New Roman" w:hAnsi="Times New Roman" w:cs="Times New Roman"/>
          <w:sz w:val="20"/>
          <w:szCs w:val="20"/>
        </w:rPr>
        <w:tab/>
        <w:t>58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M-12</w:t>
      </w:r>
      <w:r>
        <w:rPr>
          <w:rFonts w:ascii="Times New Roman" w:hAnsi="Times New Roman" w:cs="Times New Roman"/>
          <w:sz w:val="20"/>
          <w:szCs w:val="20"/>
        </w:rPr>
        <w:tab/>
        <w:t>If the Federal grant award is reduced, will the match requirement be reduced?</w:t>
      </w:r>
      <w:r>
        <w:rPr>
          <w:rFonts w:ascii="Times New Roman" w:hAnsi="Times New Roman" w:cs="Times New Roman"/>
          <w:sz w:val="20"/>
          <w:szCs w:val="20"/>
        </w:rPr>
        <w:tab/>
        <w:t>58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M-13</w:t>
      </w:r>
      <w:r>
        <w:rPr>
          <w:rFonts w:ascii="Times New Roman" w:hAnsi="Times New Roman" w:cs="Times New Roman"/>
          <w:sz w:val="20"/>
          <w:szCs w:val="20"/>
        </w:rPr>
        <w:tab/>
        <w:t>How can the USFWS terminate the grant if the Migratory Bird Conservation Commission awarded it to the recipient?</w:t>
      </w:r>
      <w:r>
        <w:rPr>
          <w:rFonts w:ascii="Times New Roman" w:hAnsi="Times New Roman" w:cs="Times New Roman"/>
          <w:sz w:val="20"/>
          <w:szCs w:val="20"/>
        </w:rPr>
        <w:tab/>
        <w:t>58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M-14</w:t>
      </w:r>
      <w:r>
        <w:rPr>
          <w:rFonts w:ascii="Times New Roman" w:hAnsi="Times New Roman" w:cs="Times New Roman"/>
          <w:sz w:val="20"/>
          <w:szCs w:val="20"/>
        </w:rPr>
        <w:tab/>
        <w:t>What if I do not receive all the matching cash committed or if the value of matching in-kind contributions is less than committed?</w:t>
      </w:r>
      <w:r>
        <w:rPr>
          <w:rFonts w:ascii="Times New Roman" w:hAnsi="Times New Roman" w:cs="Times New Roman"/>
          <w:sz w:val="20"/>
          <w:szCs w:val="20"/>
        </w:rPr>
        <w:tab/>
        <w:t>59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M-15</w:t>
      </w:r>
      <w:r>
        <w:rPr>
          <w:rFonts w:ascii="Times New Roman" w:hAnsi="Times New Roman" w:cs="Times New Roman"/>
          <w:sz w:val="20"/>
          <w:szCs w:val="20"/>
        </w:rPr>
        <w:tab/>
        <w:t>How will the USFWS reduce Federal funds for a shortfall in match or in acres in the response to Technical Assessment Question 5?</w:t>
      </w:r>
      <w:r>
        <w:rPr>
          <w:rFonts w:ascii="Times New Roman" w:hAnsi="Times New Roman" w:cs="Times New Roman"/>
          <w:sz w:val="20"/>
          <w:szCs w:val="20"/>
        </w:rPr>
        <w:tab/>
        <w:t>59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M-16</w:t>
      </w:r>
      <w:r>
        <w:rPr>
          <w:rFonts w:ascii="Times New Roman" w:hAnsi="Times New Roman" w:cs="Times New Roman"/>
          <w:sz w:val="20"/>
          <w:szCs w:val="20"/>
        </w:rPr>
        <w:tab/>
        <w:t>If the USFWS disallows a cost or reduces the grant after I have drawn down the Federal funds, how will the USFWS recover the funds?</w:t>
      </w:r>
      <w:r>
        <w:rPr>
          <w:rFonts w:ascii="Times New Roman" w:hAnsi="Times New Roman" w:cs="Times New Roman"/>
          <w:sz w:val="20"/>
          <w:szCs w:val="20"/>
        </w:rPr>
        <w:tab/>
        <w:t>60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M-17</w:t>
      </w:r>
      <w:r>
        <w:rPr>
          <w:rFonts w:ascii="Times New Roman" w:hAnsi="Times New Roman" w:cs="Times New Roman"/>
          <w:sz w:val="20"/>
          <w:szCs w:val="20"/>
        </w:rPr>
        <w:tab/>
        <w:t>When will interest on a debt start accruing?</w:t>
      </w:r>
      <w:r>
        <w:rPr>
          <w:rFonts w:ascii="Times New Roman" w:hAnsi="Times New Roman" w:cs="Times New Roman"/>
          <w:sz w:val="20"/>
          <w:szCs w:val="20"/>
        </w:rPr>
        <w:tab/>
        <w:t>61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M-18</w:t>
      </w:r>
      <w:r>
        <w:rPr>
          <w:rFonts w:ascii="Times New Roman" w:hAnsi="Times New Roman" w:cs="Times New Roman"/>
          <w:sz w:val="20"/>
          <w:szCs w:val="20"/>
        </w:rPr>
        <w:tab/>
        <w:t>What are the penalties for a debt?</w:t>
      </w:r>
      <w:r>
        <w:rPr>
          <w:rFonts w:ascii="Times New Roman" w:hAnsi="Times New Roman" w:cs="Times New Roman"/>
          <w:sz w:val="20"/>
          <w:szCs w:val="20"/>
        </w:rPr>
        <w:tab/>
        <w:t>61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M-19</w:t>
      </w:r>
      <w:r>
        <w:rPr>
          <w:rFonts w:ascii="Times New Roman" w:hAnsi="Times New Roman" w:cs="Times New Roman"/>
          <w:sz w:val="20"/>
          <w:szCs w:val="20"/>
        </w:rPr>
        <w:tab/>
        <w:t>What if I manage land acquired in a grant-funded project in a way that is inconsistent with the project’s purpose without getting the USFWS’s  consent?</w:t>
      </w:r>
      <w:r>
        <w:rPr>
          <w:rFonts w:ascii="Times New Roman" w:hAnsi="Times New Roman" w:cs="Times New Roman"/>
          <w:sz w:val="20"/>
          <w:szCs w:val="20"/>
        </w:rPr>
        <w:tab/>
        <w:t>62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M-20</w:t>
      </w:r>
      <w:r>
        <w:rPr>
          <w:rFonts w:ascii="Times New Roman" w:hAnsi="Times New Roman" w:cs="Times New Roman"/>
          <w:sz w:val="20"/>
          <w:szCs w:val="20"/>
        </w:rPr>
        <w:tab/>
        <w:t>What if I convey any of the interests in land acquired in a grant-funded project to someone else or encumber it with a mortgage, lien, or easement without getting the USFWS’s permission?</w:t>
      </w:r>
      <w:r>
        <w:rPr>
          <w:rFonts w:ascii="Times New Roman" w:hAnsi="Times New Roman" w:cs="Times New Roman"/>
          <w:sz w:val="20"/>
          <w:szCs w:val="20"/>
        </w:rPr>
        <w:tab/>
        <w:t>62</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N.</w:t>
      </w:r>
      <w:r>
        <w:rPr>
          <w:rFonts w:ascii="Times New Roman" w:hAnsi="Times New Roman" w:cs="Times New Roman"/>
          <w:b/>
          <w:bCs/>
          <w:sz w:val="20"/>
          <w:szCs w:val="20"/>
        </w:rPr>
        <w:tab/>
        <w:t>APPEALS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N-1</w:t>
      </w:r>
      <w:r>
        <w:rPr>
          <w:rFonts w:ascii="Times New Roman" w:hAnsi="Times New Roman" w:cs="Times New Roman"/>
          <w:sz w:val="20"/>
          <w:szCs w:val="20"/>
        </w:rPr>
        <w:tab/>
      </w:r>
      <w:r>
        <w:rPr>
          <w:rFonts w:ascii="Times New Roman" w:hAnsi="Times New Roman" w:cs="Times New Roman"/>
          <w:sz w:val="20"/>
          <w:szCs w:val="20"/>
        </w:rPr>
        <w:tab/>
        <w:t>If I do not agree with the USFWS grant officer, may I appeal his or her decision?</w:t>
      </w:r>
      <w:r>
        <w:rPr>
          <w:rFonts w:ascii="Times New Roman" w:hAnsi="Times New Roman" w:cs="Times New Roman"/>
          <w:sz w:val="20"/>
          <w:szCs w:val="20"/>
        </w:rPr>
        <w:tab/>
        <w:t>63</w:t>
      </w: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N-2</w:t>
      </w:r>
      <w:r>
        <w:rPr>
          <w:rFonts w:ascii="Times New Roman" w:hAnsi="Times New Roman" w:cs="Times New Roman"/>
          <w:sz w:val="20"/>
          <w:szCs w:val="20"/>
        </w:rPr>
        <w:tab/>
      </w:r>
      <w:r>
        <w:rPr>
          <w:rFonts w:ascii="Times New Roman" w:hAnsi="Times New Roman" w:cs="Times New Roman"/>
          <w:sz w:val="20"/>
          <w:szCs w:val="20"/>
        </w:rPr>
        <w:tab/>
        <w:t>How do appeal a decision of the USFWS grant officer?</w:t>
      </w:r>
      <w:r>
        <w:rPr>
          <w:rFonts w:ascii="Times New Roman" w:hAnsi="Times New Roman" w:cs="Times New Roman"/>
          <w:sz w:val="20"/>
          <w:szCs w:val="20"/>
        </w:rPr>
        <w:tab/>
        <w:t>64</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O.</w:t>
      </w:r>
      <w:r>
        <w:rPr>
          <w:rFonts w:ascii="Times New Roman" w:hAnsi="Times New Roman" w:cs="Times New Roman"/>
          <w:b/>
          <w:bCs/>
          <w:sz w:val="20"/>
          <w:szCs w:val="20"/>
        </w:rPr>
        <w:tab/>
        <w:t>AUDITS</w:t>
      </w:r>
      <w:r>
        <w:rPr>
          <w:rFonts w:ascii="Times New Roman" w:hAnsi="Times New Roman" w:cs="Times New Roman"/>
          <w:sz w:val="20"/>
          <w:szCs w:val="20"/>
        </w:rPr>
        <w:t xml:space="preserve"> </w:t>
      </w:r>
      <w:r>
        <w:rPr>
          <w:rFonts w:ascii="Times New Roman" w:hAnsi="Times New Roman" w:cs="Times New Roman"/>
          <w:b/>
          <w:bCs/>
          <w:sz w:val="20"/>
          <w:szCs w:val="20"/>
        </w:rPr>
        <w:t>AND MONITORING</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O-1</w:t>
      </w:r>
      <w:r>
        <w:rPr>
          <w:rFonts w:ascii="Times New Roman" w:hAnsi="Times New Roman" w:cs="Times New Roman"/>
          <w:sz w:val="20"/>
          <w:szCs w:val="20"/>
        </w:rPr>
        <w:tab/>
      </w:r>
      <w:r>
        <w:rPr>
          <w:rFonts w:ascii="Times New Roman" w:hAnsi="Times New Roman" w:cs="Times New Roman"/>
          <w:sz w:val="20"/>
          <w:szCs w:val="20"/>
        </w:rPr>
        <w:tab/>
        <w:t xml:space="preserve">Do I have to arrange for an annual audit of my expenditures in the project? </w:t>
      </w:r>
      <w:r>
        <w:rPr>
          <w:rFonts w:ascii="Times New Roman" w:hAnsi="Times New Roman" w:cs="Times New Roman"/>
          <w:sz w:val="20"/>
          <w:szCs w:val="20"/>
        </w:rPr>
        <w:tab/>
        <w:t>64</w:t>
      </w: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O-2</w:t>
      </w:r>
      <w:r>
        <w:rPr>
          <w:rFonts w:ascii="Times New Roman" w:hAnsi="Times New Roman" w:cs="Times New Roman"/>
          <w:sz w:val="20"/>
          <w:szCs w:val="20"/>
        </w:rPr>
        <w:tab/>
      </w:r>
      <w:r>
        <w:rPr>
          <w:rFonts w:ascii="Times New Roman" w:hAnsi="Times New Roman" w:cs="Times New Roman"/>
          <w:sz w:val="20"/>
          <w:szCs w:val="20"/>
        </w:rPr>
        <w:tab/>
        <w:t xml:space="preserve">Does the USFWS have the right to conduct its own audits of a NAWCA-funded project? </w:t>
      </w:r>
      <w:r>
        <w:rPr>
          <w:rFonts w:ascii="Times New Roman" w:hAnsi="Times New Roman" w:cs="Times New Roman"/>
          <w:sz w:val="20"/>
          <w:szCs w:val="20"/>
        </w:rPr>
        <w:tab/>
        <w:t>64</w:t>
      </w: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O-3</w:t>
      </w:r>
      <w:r>
        <w:rPr>
          <w:rFonts w:ascii="Times New Roman" w:hAnsi="Times New Roman" w:cs="Times New Roman"/>
          <w:sz w:val="20"/>
          <w:szCs w:val="20"/>
        </w:rPr>
        <w:tab/>
      </w:r>
      <w:r>
        <w:rPr>
          <w:rFonts w:ascii="Times New Roman" w:hAnsi="Times New Roman" w:cs="Times New Roman"/>
          <w:sz w:val="20"/>
          <w:szCs w:val="20"/>
        </w:rPr>
        <w:tab/>
        <w:t xml:space="preserve">Can the USFWS monitor real property, equipment, or supplies acquired, habitat restored or enhanced, or wetlands created? </w:t>
      </w:r>
      <w:r>
        <w:rPr>
          <w:rFonts w:ascii="Times New Roman" w:hAnsi="Times New Roman" w:cs="Times New Roman"/>
          <w:sz w:val="20"/>
          <w:szCs w:val="20"/>
        </w:rPr>
        <w:tab/>
        <w:t>64</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right" w:leader="dot" w:pos="10800"/>
        </w:tabs>
        <w:rPr>
          <w:rFonts w:ascii="Times New Roman" w:hAnsi="Times New Roman" w:cs="Times New Roman"/>
          <w:sz w:val="20"/>
          <w:szCs w:val="20"/>
        </w:rPr>
      </w:pPr>
      <w:r>
        <w:rPr>
          <w:rFonts w:ascii="Times New Roman" w:hAnsi="Times New Roman" w:cs="Times New Roman"/>
          <w:b/>
          <w:bCs/>
          <w:sz w:val="20"/>
          <w:szCs w:val="20"/>
        </w:rPr>
        <w:t xml:space="preserve">APPENDIX A  —  DEFINITIONS </w:t>
      </w:r>
      <w:r>
        <w:rPr>
          <w:rFonts w:ascii="Times New Roman" w:hAnsi="Times New Roman" w:cs="Times New Roman"/>
          <w:sz w:val="20"/>
          <w:szCs w:val="20"/>
        </w:rPr>
        <w:tab/>
        <w:t>66</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72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center" w:pos="5400"/>
        </w:tabs>
        <w:rPr>
          <w:rFonts w:ascii="Times New Roman" w:hAnsi="Times New Roman" w:cs="Times New Roman"/>
          <w:b/>
          <w:bCs/>
          <w:sz w:val="20"/>
          <w:szCs w:val="20"/>
        </w:rPr>
      </w:pPr>
      <w:r>
        <w:rPr>
          <w:rFonts w:ascii="Times New Roman" w:hAnsi="Times New Roman" w:cs="Times New Roman"/>
          <w:b/>
          <w:bCs/>
          <w:sz w:val="20"/>
          <w:szCs w:val="20"/>
        </w:rPr>
        <w:tab/>
        <w:t>INTRODUCTION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20"/>
          <w:szCs w:val="20"/>
        </w:rPr>
        <w:t xml:space="preserve">This Policy draws on more than 60 laws, regulations, Solicitor’s Opinions, Comptroller General’s Opinion, and other guidance to provide direction to American recipients of awards under the North American Wetlands Conservation Act.  The provisions of the Policy that will be of the greatest interest to NAWCA grant recipients and to the public at large will be published as NAWCA program regulations in the Federal Register with a public comment period as required by the combination of Title 5, U.S. Code, Chapter 5, Sections 551 and 553, and the Departmental Manual (318 DM 6.4B(1).  As new laws, regulations, and other sources of authority  appear over time, and existing sources of authority are amended or clarified through official interpretation, the Policy and program regulations will be modified as necessary.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20"/>
          <w:szCs w:val="20"/>
        </w:rPr>
        <w:t>A.   APPLICABILITY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A-1.   What does this Policy apply to?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This policy applies to any project that: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receives Federal financial assistance;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hanging="90"/>
        <w:rPr>
          <w:rFonts w:ascii="Times New Roman" w:hAnsi="Times New Roman" w:cs="Times New Roman"/>
          <w:sz w:val="20"/>
          <w:szCs w:val="20"/>
        </w:rPr>
      </w:pPr>
      <w:r>
        <w:rPr>
          <w:rFonts w:ascii="Times New Roman" w:hAnsi="Times New Roman" w:cs="Times New Roman"/>
          <w:sz w:val="20"/>
          <w:szCs w:val="20"/>
        </w:rPr>
        <w:t xml:space="preserve">(b) is approved under the authority of the North American Wetlands Conservation Act (NAWCA);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occurs on lands or waters under the jurisdiction of the United States of America.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Federal Grant and Cooperative Agreement Act (Public Law 95-224, 31 U.S.C. Sec. 6303 et seq.) distinguishes between procurement and assistance relationships between the Federal government and contractors, States, local governments, and other recipients of Federal assistance.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Administrative and Audit Requirements and Cost Principles for Assistance Programs (43 CFR, part 12) prescribes administrative requirements and cost principles for </w:t>
      </w:r>
      <w:r>
        <w:rPr>
          <w:rFonts w:ascii="Times New Roman" w:hAnsi="Times New Roman" w:cs="Times New Roman"/>
          <w:sz w:val="16"/>
          <w:szCs w:val="16"/>
        </w:rPr>
        <w:lastRenderedPageBreak/>
        <w:t>grants and cooperative agreements entered into by the Department of the Interior.  Subparts A and C-E apply to State, local, and Indian Tribal governments.  Subparts A and D-F apply to institutions of higher education, hospitals, and nonprofit organizations.  43  CFR 12.2©) incorporates by reference OMB Circular A-110, Uniform Administrative Requirements for Grants and Agreements with Institutions of Higher Education, Hospitals, and Other Non-Profit Organizations, which authorizes Federal awarding agencies to apply the provisions of the Circular to commercial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Audits of States, Local Governments and Non-Profit Organizations (OMB Circular A-133, section __.210(b) and __.210©)) lists characteristics indicative of a Federal assistance award received by a subrecipient and characteristics indicative of a payment for goods and services received by a vendor or a contractor under a procurement contract  under a grant. (See definitions of  “contract” in 43 CFR 12.43 and 43 CFR 12.902; “grant” and “subgrant” in 43 CFR 12.43;  “award and “subaward” in  43 CFR 12.902; and “contract” in OMB Circular A-87, Attachment A, section B.8.)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Department of the Interior and Related Agencies Appropriations Act of 1992 (Public Law 102-154, Title I, November 13, 1991, 105 Stat. 995; 31 U.S.C. Sec. 6305 </w:t>
      </w:r>
      <w:r>
        <w:rPr>
          <w:rFonts w:ascii="Times New Roman" w:hAnsi="Times New Roman" w:cs="Times New Roman"/>
          <w:i/>
          <w:iCs/>
          <w:sz w:val="16"/>
          <w:szCs w:val="16"/>
        </w:rPr>
        <w:t>Notes</w:t>
      </w:r>
      <w:r>
        <w:rPr>
          <w:rFonts w:ascii="Times New Roman" w:hAnsi="Times New Roman" w:cs="Times New Roman"/>
          <w:sz w:val="16"/>
          <w:szCs w:val="16"/>
        </w:rPr>
        <w:t xml:space="preserve">) states “Notwithstanding the provisions of the Federal Grant and Cooperative Agreements Act of 1977 (31 U.S.C. 6301-6308) the Fish and Wildlife Service is hereafter authorized to negotiate and enter into cooperative arrangements and grants with public and private agencies, organizations, institutions, and individuals to implement on a public-private cost sharing basis, the North American Wetlands Conservation Act [16 U.S.C. 4401 et seq.] and the North American Waterfowl Management Plan”.  Although this provision does not specify “American citizens and individuals with permanent residency status”, the NAWCA Grants Program limits it to citizens and permanent residents to ensure that the award goes only to legal residents who are not under any threat of deportation and thus more likely to be able to follow through on their commitments under an award.  Aliens not lawfully present in the United States are excluded from receiving relocation benefits under 49 CFR 24.208.  According to 49 CFR 24.2, an alien is not lawfully present in the United States if: (a) he or she has not been admitted or paroled into the United States pursuant to the Immigration or Nationality Act and whose stay in the United States has not been authorized by the United States Attorney General; (b) he or she is present in the United States after the expiration of the period of stay authorized by the United States Attorney General or who otherwise violates the terms and conditions of admission, parole, or authorization to stay in the United States.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8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B.   GENERAL AUTHORITIES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B-1.   What are the basic grant administration regulations that govern a NAWCA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Title 43, part 12, of the Code of Federal Regulations prescribes administrative requirements and cost principles for grants and cooperative agreements entered into by the Department of the Interior and its agencies, which include the Fish and Wildlife Service.  The applicability of the subparts of 43 CFR, part 12, varies by recipient as follows: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governments, agencies, or instrumentalities of, and local governments in, the 50 American States, the District of Columbia, the Commonwealth of Puerto Rico, the Territory of the Virgin Islands, the Territory of Guam, the Commonwealth of the Northern Mariana Islands, and the Territory of American Samoa  –  subparts A and 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federally recognized Indian tribal governments  –  subparts A and 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public and private institutions of higher education  –  subparts A and D-F;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(d) public and private hospitals  –  subparts A and D-F;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footerReference w:type="default" r:id="rId8"/>
          <w:type w:val="continuous"/>
          <w:pgSz w:w="12240" w:h="15840"/>
          <w:pgMar w:top="720" w:right="720" w:bottom="720" w:left="720" w:header="720" w:footer="720" w:gutter="0"/>
          <w:pgNumType w:start="1"/>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(e) nonprofit corporations organized and chartered under the laws of one of the 50 American States, the District of Columbia, the Commonwealth of Puerto Rico, the Territory of the Virgin Islands, the Territory of Guam, the Commonwealth of the Northern Mariana Islands, or the Territory of American Samoa  –  subparts A and D-F;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(f) commercial organizations organized and chartered under the laws of one of the 50 American States, the District of Columbia, the Commonwealth of Puerto Rico, Territory of the Virgin Islands, the Territory of Guam, the Commonwealth of the Northern Mariana Islands, or the Territory of American Samoa  –  subparts A and D-F;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USFWS may also implement NAWCA by negotiating and entering into grants or cooperative arrangements with: (a) American citizens and individuals with permanent residency status in the United States of America; (b) organizations and institutions other than those addressed above that are organized, chartered, or recognized under State or local law; and ©) Federal agencies and other Federal entities and subdivisions and instrumentalities of the same.  43 CFR, Part 12, and the Federal Cost Principles, are not directly applicable to recipient categories (a) and (b) above.  However, if either of these two categories  is a recipient or subrecipient, the USFWS will apply all the terms of this policy and 43 CFR, part 12, subparts A and D-F and OMB Circular A-122, but the USFWS reserves the right to negotiate terms of a grant or cooperative agreement or cooperative arrangement that depart from 43 CFR, part 12, subpart F, as appropriate for the project and as long as such terms are in compliance with all applicable laws and acceptable to both USFWS and the 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Federal agencies, other Federal entities, and subdivisions and instrumentalities of the same, in category ©) above, may be funded under NAWCA, but the funds received are not governed by the grant administration regulations of 43 CFR, part 12.  A separate policy document will govern the use of NAWCA funds by this category of Federal grant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Note that 43 CFR, sections 12.2, 12.41, and 12.921 specifies the subparts that apply to all authorized recipients except commercial organizations and individuals.   Grants to commercial organizations and individuals are not directly addressed in 43 CFR, part 12, but 43 CFR 12.2©) incorporates by reference OMB Circular A-110, Uniform Administrative Requirements for Grants and Agreements with Institutions of Higher Education, Hospitals, and Other Non-Profit Organizations, which authorizes Federal awarding agencies to apply the provisions of the Circular to commercial organizations.  Therefore, commercial organizations will also be administered under subpart 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The Department of the Interior and Related Agencies Appropriations Act of 1992 (Public Law 102-154, Title I, November 13, 1991, 105 Stat. 995; 31 U.S.C. Sec. 6305 </w:t>
      </w:r>
      <w:r>
        <w:rPr>
          <w:rFonts w:ascii="Times New Roman" w:hAnsi="Times New Roman" w:cs="Times New Roman"/>
          <w:i/>
          <w:iCs/>
          <w:sz w:val="16"/>
          <w:szCs w:val="16"/>
        </w:rPr>
        <w:t>Notes</w:t>
      </w:r>
      <w:r>
        <w:rPr>
          <w:rFonts w:ascii="Times New Roman" w:hAnsi="Times New Roman" w:cs="Times New Roman"/>
          <w:sz w:val="16"/>
          <w:szCs w:val="16"/>
        </w:rPr>
        <w:t xml:space="preserve">) “Notwithstanding the provisions of the Federal Grant and Cooperative Agreements Act of 1977 (31 U.S.C. 6301-6308) the Fish and Wildlife Service is hereafter authorized to negotiate and enter into cooperative arrangements and grants with public and private agencies, organizations, institutions, and individuals to implement on a public-private cost sharing basis, the North American Wetlands Conservation Act [16 U.S.C. 4401 et seq.] and the North American Waterfowl Management Plan”.  Public Law 102-154 authorizes the award of NAWCA grants to individuals, but it does not indicate which subpart of Title 43, part 12, must be used to administer the grants.  Following on the precedent of awards to commercial organizations being administered under subpart F, and foreign and international organizations also being administered under  subpart F, (see 43 CFR 12.902, </w:t>
      </w:r>
      <w:r>
        <w:rPr>
          <w:rFonts w:ascii="Times New Roman" w:hAnsi="Times New Roman" w:cs="Times New Roman"/>
          <w:i/>
          <w:iCs/>
          <w:sz w:val="16"/>
          <w:szCs w:val="16"/>
        </w:rPr>
        <w:t>Recipient</w:t>
      </w:r>
      <w:r>
        <w:rPr>
          <w:rFonts w:ascii="Times New Roman" w:hAnsi="Times New Roman" w:cs="Times New Roman"/>
          <w:sz w:val="16"/>
          <w:szCs w:val="16"/>
        </w:rPr>
        <w:t xml:space="preserve">), the NAWCA Grants Program  will administer grants under subpart F if the recipient is an individual or another organization or institution organized, chartered, or recognized under State or local law as long as these entities are not considered part of, or instrumentalities of, the Federal government or one of the other categories of grant recipients authorized under the NAWCA Grant Program.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Federal Grant and Cooperative Agreement Act of 1977 (Public Law 95-224) contains references to the relationship between the Federal Government and grantees.  These references, together with the lack of any regulations covering awards to the Federal government and the illogic of the Federal government giving a grant to itself, lead to the conclusion that a Federal entity may not receive Federal assistance.  However, provisions of two other laws, taken together, authorize Federal agencies, other Federal entities, and subdivisions and instrumentalities of the same, to receive Federal grants.  Section 8(b) of the North American Wetlands Conservation Act (Public Law 101-233) specifically authorizes NAWCA projects to be carried out on Federal lands and waters.  The Department of the Interior and Related Agencies Appropriations Act of 1992 (Public Law 102-154, Title I, November 13, 1991, 105 Stat. 995; 31 U.S.C. Sec. 6305 </w:t>
      </w:r>
      <w:r>
        <w:rPr>
          <w:rFonts w:ascii="Times New Roman" w:hAnsi="Times New Roman" w:cs="Times New Roman"/>
          <w:i/>
          <w:iCs/>
          <w:sz w:val="16"/>
          <w:szCs w:val="16"/>
        </w:rPr>
        <w:t>Notes</w:t>
      </w:r>
      <w:r>
        <w:rPr>
          <w:rFonts w:ascii="Times New Roman" w:hAnsi="Times New Roman" w:cs="Times New Roman"/>
          <w:sz w:val="16"/>
          <w:szCs w:val="16"/>
        </w:rPr>
        <w:t xml:space="preserve">) in the passage quoted in the Authorities entry above essentially negates any implication of the Federal Grants and Cooperative Agreements Act of 1977 that the Federal government cannot give an award to itself.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B-2.   Where can I get a copy of the laws, regulations, guidance, and forms that apply to grant administration?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Web sites with links to many of the laws, regulations, guidance, and forms applicable to NAWCA grants are: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Code of Federal Regulations, Service Manual (USFWS), Director’s Orders (USFWS)</w:t>
      </w:r>
      <w:r>
        <w:rPr>
          <w:rFonts w:ascii="Times New Roman" w:hAnsi="Times New Roman" w:cs="Times New Roman"/>
          <w:sz w:val="20"/>
          <w:szCs w:val="20"/>
        </w:rPr>
        <w:tab/>
        <w:t xml:space="preserve"> </w:t>
      </w:r>
      <w:r>
        <w:rPr>
          <w:rStyle w:val="Hypertext"/>
          <w:rFonts w:ascii="Times New Roman" w:hAnsi="Times New Roman" w:cs="Times New Roman"/>
          <w:color w:val="000000"/>
          <w:sz w:val="20"/>
          <w:szCs w:val="20"/>
        </w:rPr>
        <w:t>http://policy.fws.gov/index.html</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Code of Federal Regulations (direct access)</w:t>
      </w:r>
      <w:r>
        <w:rPr>
          <w:rFonts w:ascii="Times New Roman" w:hAnsi="Times New Roman" w:cs="Times New Roman"/>
          <w:sz w:val="20"/>
          <w:szCs w:val="20"/>
        </w:rPr>
        <w:tab/>
      </w:r>
      <w:r>
        <w:rPr>
          <w:rStyle w:val="Hypertext"/>
          <w:rFonts w:ascii="Sakkal Majalla" w:hAnsi="Sakkal Majalla" w:cs="Sakkal Majalla"/>
          <w:color w:val="000000"/>
          <w:sz w:val="20"/>
          <w:szCs w:val="20"/>
        </w:rPr>
        <w:t>http://www.access.gpo.gov/nara/cfr/index.html</w:t>
      </w:r>
      <w:r>
        <w:rPr>
          <w:rFonts w:ascii="Times New Roman" w:hAnsi="Times New Roman" w:cs="Times New Roman"/>
          <w:sz w:val="20"/>
          <w:szCs w:val="20"/>
        </w:rPr>
        <w:t>.</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Public Laws</w:t>
      </w:r>
      <w:r>
        <w:rPr>
          <w:rFonts w:ascii="Times New Roman" w:hAnsi="Times New Roman" w:cs="Times New Roman"/>
          <w:sz w:val="20"/>
          <w:szCs w:val="20"/>
        </w:rPr>
        <w:tab/>
      </w:r>
      <w:r>
        <w:rPr>
          <w:rStyle w:val="Hypertext"/>
          <w:rFonts w:ascii="Times New Roman" w:hAnsi="Times New Roman" w:cs="Times New Roman"/>
          <w:color w:val="000000"/>
          <w:sz w:val="20"/>
          <w:szCs w:val="20"/>
        </w:rPr>
        <w:t>http://thomas.loc.gov/</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U.S. Code</w:t>
      </w:r>
      <w:r>
        <w:rPr>
          <w:rFonts w:ascii="Times New Roman" w:hAnsi="Times New Roman" w:cs="Times New Roman"/>
          <w:sz w:val="20"/>
          <w:szCs w:val="20"/>
        </w:rPr>
        <w:tab/>
      </w:r>
      <w:r>
        <w:rPr>
          <w:rFonts w:ascii="Times New Roman" w:hAnsi="Times New Roman" w:cs="Times New Roman"/>
          <w:sz w:val="20"/>
          <w:szCs w:val="20"/>
          <w:u w:val="single"/>
        </w:rPr>
        <w:t>http://uscode.house.gov/usc.htm</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OMB Circulars</w:t>
      </w:r>
      <w:r>
        <w:rPr>
          <w:rFonts w:ascii="Times New Roman" w:hAnsi="Times New Roman" w:cs="Times New Roman"/>
          <w:sz w:val="20"/>
          <w:szCs w:val="20"/>
        </w:rPr>
        <w:tab/>
      </w:r>
      <w:r>
        <w:rPr>
          <w:rStyle w:val="Hypertext"/>
          <w:rFonts w:ascii="Times New Roman" w:hAnsi="Times New Roman" w:cs="Times New Roman"/>
          <w:color w:val="000000"/>
          <w:sz w:val="20"/>
          <w:szCs w:val="20"/>
        </w:rPr>
        <w:t>http://www.whitehouse.gov/omb/circulars/index.html</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Standard Forms (SF) (some can be filled out on line)</w:t>
      </w:r>
      <w:r>
        <w:rPr>
          <w:rFonts w:ascii="Times New Roman" w:hAnsi="Times New Roman" w:cs="Times New Roman"/>
          <w:sz w:val="20"/>
          <w:szCs w:val="20"/>
        </w:rPr>
        <w:tab/>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u w:val="single"/>
        </w:rPr>
        <w:t>http://contacts.gsa.gov/webforms.nsf/(formslist)?openform&amp;count=1000&amp;category=Standard+Forms&amp;expand view</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Some Standard Forms and Links to Department of the Interior Forms (DI)(some can be filled out on line)</w:t>
      </w:r>
      <w:r>
        <w:rPr>
          <w:rFonts w:ascii="Times New Roman" w:hAnsi="Times New Roman" w:cs="Times New Roman"/>
          <w:sz w:val="20"/>
          <w:szCs w:val="20"/>
        </w:rPr>
        <w:tab/>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u w:val="single"/>
        </w:rPr>
        <w:t>http:pdm.fws.gov/forms.html</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Some Standard Forms</w:t>
      </w:r>
      <w:r>
        <w:rPr>
          <w:rFonts w:ascii="Times New Roman" w:hAnsi="Times New Roman" w:cs="Times New Roman"/>
          <w:sz w:val="20"/>
          <w:szCs w:val="20"/>
        </w:rPr>
        <w:tab/>
      </w:r>
      <w:r>
        <w:rPr>
          <w:rFonts w:ascii="Times New Roman" w:hAnsi="Times New Roman" w:cs="Times New Roman"/>
          <w:sz w:val="20"/>
          <w:szCs w:val="20"/>
          <w:u w:val="single"/>
        </w:rPr>
        <w:t>http://www.whitehouse.gov/omb/grants/grants_forms.html</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NAWCA Cost Principles</w:t>
      </w:r>
      <w:r>
        <w:rPr>
          <w:rFonts w:ascii="Times New Roman" w:hAnsi="Times New Roman" w:cs="Times New Roman"/>
          <w:sz w:val="20"/>
          <w:szCs w:val="20"/>
        </w:rPr>
        <w:tab/>
      </w:r>
      <w:r>
        <w:rPr>
          <w:rFonts w:ascii="Times New Roman" w:hAnsi="Times New Roman" w:cs="Times New Roman"/>
          <w:sz w:val="20"/>
          <w:szCs w:val="20"/>
          <w:u w:val="single"/>
        </w:rPr>
        <w:t>http://birdhabitat.fws.gov/NAWCA/Cost%20Principles.pdf</w:t>
      </w:r>
    </w:p>
    <w:p w:rsidR="001F0636" w:rsidRDefault="001F0636">
      <w:pPr>
        <w:tabs>
          <w:tab w:val="right" w:leader="dot" w:pos="10800"/>
        </w:tabs>
        <w:ind w:left="270"/>
        <w:rPr>
          <w:rFonts w:ascii="Times New Roman" w:hAnsi="Times New Roman" w:cs="Times New Roman"/>
          <w:sz w:val="20"/>
          <w:szCs w:val="20"/>
        </w:rPr>
        <w:sectPr w:rsidR="001F0636">
          <w:type w:val="continuous"/>
          <w:pgSz w:w="12240" w:h="15840"/>
          <w:pgMar w:top="720" w:right="72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C.   DEFINITIONS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C-1   Where can I find definitions of the legal and technical terms in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Definitions of many of the terms used in the NAWCA Policy for Administration of Federally Assisted Projects in the United States of America are in the applicable laws, regulations, and guidance.  Some of these terms are repeated or clarified in the Appendix to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D.   GRANT/COOPERATIVE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D-1.   When will I receive an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When the Migratory Bird Conservation Commission (MBCC) approves funding for a proposal, the grants officer will review the proposal and assemble the pertinent documents.  If the grants officer finds any problem related to compliance with law, policy, or administrative procedures, he or she will contact the project officer to seek a resolution.  If there are no problems, or once any problems have been resolved, the grants officer will send the recipient a signed Agreement, which is entitled “U.S. Fish and Wildlife Service Assistance Award”, by certified first-class mail, return receipt requested.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D-2.   When can I draw down Federal grant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grant money becomes available to the recipient on the first day of the funding period.  The funding period will begin on the fifteenth calendar day after the Division Chief or his or her designee signs the grant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This is based on “Grants and Cooperative Agreements with State and Local Governments” (OMB Circular A-102, Attachment, 1.e.(1)), which states: “Ordinarily awards shall be made at least ten days prior to the beginning of the grant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D-3.   If I change my mind, can I decline the grant with no further obligation?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recipient may decline the grant with no further obligation by ensuring that the grants officer receives a written notification within 14 days of receiving the “U.S. Fish and Wildlife Service Assistance Award.”  The notification must clearly indicate that the recipient no longer wishes to receive the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D-4.   How can this be an “Agreement” if I do not sign it?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It is an “Agreement” because an authorized official of the recipient signed the assurances associated with the Application for Federal Assistance (Standard Form 424).  One of these assurances states: “Will comply with all applicable requirements of all other Federal laws, executive orders, regulations, and policies governing this program.”  When the recipient signed the SF 424 Assurances, he or she agreed to accept this Policy and abide by its terms.  This Policy will be available on the same website containing the application instructions after it has been referenced in the NAWCA program regulations and made available to the public for review and comments.</w:t>
      </w:r>
    </w:p>
    <w:p w:rsidR="001F0636" w:rsidRDefault="001F0636">
      <w:pPr>
        <w:tabs>
          <w:tab w:val="center" w:pos="5400"/>
        </w:tabs>
        <w:rPr>
          <w:rFonts w:ascii="Times New Roman" w:hAnsi="Times New Roman" w:cs="Times New Roman"/>
          <w:sz w:val="20"/>
          <w:szCs w:val="20"/>
        </w:rPr>
      </w:pP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b/>
          <w:bCs/>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SF 424B and/or SF 424D Assurances are required for all non-Federal applicants by the NAWCA Grants Program’s application instructions.  The SF 424 is required by implication for States, Tribes, and local governments at 43 CFR 12.50(b)(1).  The SF 424 is required explicitly at 43 CFR12.912(b)  for applications submitted by institutions of higher education, hospitals, other nonprofit organizations, commercial organizations, and individuals.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b/>
          <w:bCs/>
          <w:sz w:val="20"/>
          <w:szCs w:val="20"/>
        </w:rPr>
      </w:pPr>
      <w:r>
        <w:rPr>
          <w:rFonts w:ascii="Times New Roman" w:hAnsi="Times New Roman" w:cs="Times New Roman"/>
          <w:b/>
          <w:bCs/>
          <w:sz w:val="20"/>
          <w:szCs w:val="20"/>
        </w:rPr>
        <w:t xml:space="preserve">E.   REPORTS AND OTHER DOCUMENTATION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ight="-90"/>
        <w:rPr>
          <w:rFonts w:ascii="Times New Roman" w:hAnsi="Times New Roman" w:cs="Times New Roman"/>
          <w:sz w:val="20"/>
          <w:szCs w:val="20"/>
        </w:rPr>
      </w:pPr>
      <w:r>
        <w:rPr>
          <w:rFonts w:ascii="Times New Roman" w:hAnsi="Times New Roman" w:cs="Times New Roman"/>
          <w:b/>
          <w:bCs/>
          <w:sz w:val="20"/>
          <w:szCs w:val="20"/>
        </w:rPr>
        <w:t>E-1.   What reports and other documents do I have to submit after I receive the award?</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sz w:val="20"/>
          <w:szCs w:val="20"/>
        </w:rPr>
        <w:sectPr w:rsidR="001F0636">
          <w:type w:val="continuous"/>
          <w:pgSz w:w="12240" w:h="15840"/>
          <w:pgMar w:top="720" w:right="72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Each recipient must submit the items listed below to the grant officer for each award.  Items (1) and  (2) below must also be provided for each proposal before a grant agreement is executed and for each proposed modification in the project proposal or grant agreement that would: (a) add new acreage to the project area; (b) change the interest in real property to be acquired; ©) change the method of restoration, enhancement, or other habitat modification; or (d) substitute tracts to be acquired, restored, enhanced, or modified or adds new acreage to tracts previously proposed.  Item (3) must also be provided for any modification or proposed modification of the project proposal or grant agreement that would result in the incorporation of  new acreage into the National Wildlife Refuge System beyond what was originally proposed.</w:t>
      </w:r>
    </w:p>
    <w:p w:rsidR="001F0636" w:rsidRDefault="001F0636">
      <w:pPr>
        <w:pStyle w:val="Level1"/>
        <w:numPr>
          <w:ilvl w:val="0"/>
          <w:numId w:val="7"/>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u w:val="single"/>
        </w:rPr>
        <w:t>National Historic Preservation Act Compliance Documentation</w:t>
      </w:r>
      <w:r>
        <w:rPr>
          <w:sz w:val="20"/>
          <w:szCs w:val="20"/>
        </w:rPr>
        <w:t>.  Documentation that demonstrates full compliance with 36 CFR, part 800, which implements the National Historic Preservation Act (NHPA), for all acquisition and work sites in the final project area.  At a minimum, this will normally involve a letter from the USFWS Regional Historic Preservation Officer (RHPO) or his or her designee, and one or more letters from the State Historic Preservation Officer (SHPO) as directed by the RHPO.  USFWS will work through the appropriate Joint Venture Coordinator to initiate compliance measures before a grant agreement is executed.  However, the applicant/recipient is ultimately responsible for (a) initiating NHPA compliance for any modification of the project proposal and/or grant agreement and (b) ensuring full compliance during both the pre-agreement period and the funding period.</w:t>
      </w:r>
    </w:p>
    <w:p w:rsidR="001F0636" w:rsidRDefault="001F0636">
      <w:pPr>
        <w:pStyle w:val="Level1"/>
        <w:numPr>
          <w:ilvl w:val="0"/>
          <w:numId w:val="7"/>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u w:val="single"/>
        </w:rPr>
        <w:t>National Environmental Policy Act and Endangered Species Act Documentation</w:t>
      </w:r>
      <w:r>
        <w:rPr>
          <w:sz w:val="20"/>
          <w:szCs w:val="20"/>
        </w:rPr>
        <w:t>.  Letters from USFWS Regional Offices or other documentation demonstrating compliance with the National Environmental Policy Act (NEPA) and the Endangered Species Act for all acquisition and work sites in the final project area.  USFWS will work through the appropriate Joint Venture Coordinator to initiate compliance measures before a grant agreement is executed.  However, the applicant/recipient is ultimately responsible for (a) initiating NEPA and Endangered Species Act compliance for any modification of the project proposal and/or grant agreement and (b) ensuring full compliance during both the pre-agreement period and the funding period.</w:t>
      </w:r>
    </w:p>
    <w:p w:rsidR="001F0636" w:rsidRDefault="001F0636">
      <w:pPr>
        <w:pStyle w:val="Level1"/>
        <w:numPr>
          <w:ilvl w:val="0"/>
          <w:numId w:val="7"/>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u w:val="single"/>
        </w:rPr>
        <w:t>Contaminants Surveys</w:t>
      </w:r>
      <w:r>
        <w:rPr>
          <w:sz w:val="20"/>
          <w:szCs w:val="20"/>
        </w:rPr>
        <w:t xml:space="preserve">.  Copies of contaminants surveys or documentation from USFWS Regional Offices or field stations demonstrating that contaminants will not preclude the incorporation of those lands acquired in the project into the National Wildlife Refuge System (applicable only if such lands were acquired in the project).  USFWS will </w:t>
      </w:r>
      <w:r>
        <w:rPr>
          <w:sz w:val="20"/>
          <w:szCs w:val="20"/>
        </w:rPr>
        <w:lastRenderedPageBreak/>
        <w:t>work through the appropriate Joint Venture Coordinator to initiate compliance measures before a grant agreement is executed.  However, the applicant/recipient is ultimately responsible for (a) initiating contaminants surveys or documentation for any modification of the project proposal and/or grant agreement and (b) ensuring full compliance during both the pre-agreement period and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pPr>
      <w:r>
        <w:rPr>
          <w:sz w:val="20"/>
          <w:szCs w:val="20"/>
        </w:rPr>
        <w:t>(4)</w:t>
      </w:r>
      <w:r>
        <w:rPr>
          <w:sz w:val="20"/>
          <w:szCs w:val="20"/>
        </w:rPr>
        <w:tab/>
      </w:r>
      <w:r>
        <w:rPr>
          <w:sz w:val="20"/>
          <w:szCs w:val="20"/>
          <w:u w:val="single"/>
        </w:rPr>
        <w:t>Performance Reports</w:t>
      </w:r>
      <w:r>
        <w:rPr>
          <w:sz w:val="20"/>
          <w:szCs w:val="20"/>
        </w:rPr>
        <w:t>.  The annual performance report must be received by the grant officer within 90 days after the end of each full year of the funding period and a final performance report to be received by the grant officer within 90 days of the end of the funding period.  The report must be received by 4 p.m. Eastern Time on the ninetieth day.  If the ninetieth day falls on a weekend or Federal holiday, the report must be received by 4 p.m. Eastern Time on the first Federal workday thereafter.  If the due date of the final report coincides with the due date of the last annual report, the final report will substitute for the last annual report.  Performance reports must include the following information: (a) a comparison of actual accomplishments with the acres listed in the recipient’s responses to Technical Assessment Questions 4 and 5 of the project proposal; (b) reasons why acreage objectives were not met, if appropriate</w:t>
      </w:r>
      <w:r>
        <w:rPr>
          <w:i/>
          <w:iCs/>
          <w:sz w:val="20"/>
          <w:szCs w:val="20"/>
        </w:rPr>
        <w:t xml:space="preserve"> (final reports only)</w:t>
      </w:r>
      <w:r>
        <w:rPr>
          <w:sz w:val="20"/>
          <w:szCs w:val="20"/>
        </w:rPr>
        <w:t xml:space="preserve">; ©) any anticipated shortfall in receiving the matching cash or the matching in-kind contributions (or reductions in the estimated market value thereof) that were committed in the project proposal </w:t>
      </w:r>
      <w:r>
        <w:rPr>
          <w:i/>
          <w:iCs/>
          <w:sz w:val="20"/>
          <w:szCs w:val="20"/>
        </w:rPr>
        <w:t>(annual/intermediate reports only)</w:t>
      </w:r>
      <w:r>
        <w:rPr>
          <w:sz w:val="20"/>
          <w:szCs w:val="20"/>
        </w:rPr>
        <w:t xml:space="preserve">; (d) any anticipated shortfall in accomplishing the acres listed in the recipient’s responses to Technical Assessment Questions 4 and 5 of the project proposal and the reasons for the anticipated shortfall </w:t>
      </w:r>
      <w:r>
        <w:rPr>
          <w:i/>
          <w:iCs/>
          <w:sz w:val="20"/>
          <w:szCs w:val="20"/>
        </w:rPr>
        <w:t>(annual/intermediate reports only)</w:t>
      </w:r>
      <w:r>
        <w:rPr>
          <w:sz w:val="20"/>
          <w:szCs w:val="20"/>
        </w:rPr>
        <w:t xml:space="preserve">; and (e) the Federal participation in the project represented as a percentage of the actual costs of the project and the Recipient’s (including the subrecipients’) participation in the project represented as a percentage of the actual costs of the project  [the percentage participation in the project is often referred to as “attributable share”] </w:t>
      </w:r>
      <w:r>
        <w:rPr>
          <w:i/>
          <w:iCs/>
          <w:sz w:val="20"/>
          <w:szCs w:val="20"/>
        </w:rPr>
        <w:t>(final reports only)</w:t>
      </w:r>
      <w:r>
        <w:rPr>
          <w:sz w:val="20"/>
          <w:szCs w:val="20"/>
        </w:rPr>
        <w:t xml:space="preserve">.  Submission of this report by the due date is especially important for recipient States, Tribes, and local governments, because an annual reconciliation is required for continuing assistance awards to these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pPr>
      <w:r>
        <w:rPr>
          <w:sz w:val="20"/>
          <w:szCs w:val="20"/>
        </w:rPr>
        <w:t>(5)</w:t>
      </w:r>
      <w:r>
        <w:rPr>
          <w:sz w:val="20"/>
          <w:szCs w:val="20"/>
        </w:rPr>
        <w:tab/>
      </w:r>
      <w:r>
        <w:rPr>
          <w:sz w:val="20"/>
          <w:szCs w:val="20"/>
          <w:u w:val="single"/>
        </w:rPr>
        <w:t>Financial Status Reports</w:t>
      </w:r>
      <w:r>
        <w:rPr>
          <w:sz w:val="20"/>
          <w:szCs w:val="20"/>
        </w:rPr>
        <w:t xml:space="preserve">.  The annual financial status report on  Standard Form 269 (Long Form) must be received by the grant officer within 90 days after the end of each full year of the funding period and a final report to be received by the grant officer within 90 days of the end of the funding period.  The report must be received by 4 p.m. Eastern Time on the ninetieth day.  If the ninetieth day falls on a weekend or Federal holiday, the report must be received by 4 p.m. Eastern Time on the first Federal workday thereafter.  If the due date of the final report coincides with the due date of the last annual report, the final report will substitute for the last annual report.  Submission of this report by the due date is especially important for recipient States, Tribes, and local governments, because an annual reconciliation is required for continuing assistance awards to these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pPr>
      <w:r>
        <w:rPr>
          <w:sz w:val="20"/>
          <w:szCs w:val="20"/>
        </w:rPr>
        <w:t>(6)</w:t>
      </w:r>
      <w:r>
        <w:rPr>
          <w:sz w:val="20"/>
          <w:szCs w:val="20"/>
        </w:rPr>
        <w:tab/>
      </w:r>
      <w:r>
        <w:rPr>
          <w:sz w:val="20"/>
          <w:szCs w:val="20"/>
          <w:u w:val="single"/>
        </w:rPr>
        <w:t>Maps or Coordinates</w:t>
      </w:r>
      <w:r>
        <w:rPr>
          <w:sz w:val="20"/>
          <w:szCs w:val="20"/>
        </w:rPr>
        <w:t>.  U.S. Geological Survey 7½ minute topographic maps delineating the boundaries of all interests in real property that the recipient, subrecipient, or match provider purchased, restored, enhanced, or created with grant or matching dollars or accepted as in-kind matching contributions.  As an alternative to the maps described above for habitat restoration, or enhancement sites smaller than 247 acres[100 hectares]) the recipient may provide the coordinates of the center of each contiguous parcel in the UTM (Universal Transverse Mercator) coordinate system with the “North American Datum” (1927 or 1983) of the map from which coordinates were taken (or the North American Datum from the Ground Positioning System receiver that determined the coordinates) with each pair of coordinates referenced to the habitat modification.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pPr>
      <w:r>
        <w:rPr>
          <w:sz w:val="20"/>
          <w:szCs w:val="20"/>
        </w:rPr>
        <w:t>(7)</w:t>
      </w:r>
      <w:r>
        <w:rPr>
          <w:sz w:val="20"/>
          <w:szCs w:val="20"/>
        </w:rPr>
        <w:tab/>
      </w:r>
      <w:r>
        <w:rPr>
          <w:sz w:val="20"/>
          <w:szCs w:val="20"/>
          <w:u w:val="single"/>
        </w:rPr>
        <w:t>Real Property Documentation</w:t>
      </w:r>
      <w:r>
        <w:rPr>
          <w:sz w:val="20"/>
          <w:szCs w:val="20"/>
        </w:rPr>
        <w:t>.  The following items must be submitted with the final performance report for each interest in       real property purchased with Federal grant dollars or matching cash or received as an in-kind contribution except as indicated: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sectPr w:rsidR="001F0636">
          <w:type w:val="continuous"/>
          <w:pgSz w:w="12240" w:h="15840"/>
          <w:pgMar w:top="720" w:right="630" w:bottom="630" w:left="720" w:header="720" w:footer="630" w:gutter="0"/>
          <w:cols w:space="720"/>
          <w:noEndnote/>
        </w:sectPr>
      </w:pPr>
    </w:p>
    <w:p w:rsidR="001F0636" w:rsidRDefault="001F0636">
      <w:pPr>
        <w:pStyle w:val="Level1"/>
        <w:numPr>
          <w:ilvl w:val="0"/>
          <w:numId w:val="8"/>
        </w:numPr>
        <w:tabs>
          <w:tab w:val="left" w:pos="-480"/>
          <w:tab w:val="left" w:pos="0"/>
          <w:tab w:val="left" w:pos="90"/>
          <w:tab w:val="left" w:pos="180"/>
          <w:tab w:val="left" w:pos="270"/>
          <w:tab w:val="left" w:pos="360"/>
          <w:tab w:val="left" w:pos="540"/>
          <w:tab w:val="left" w:pos="720"/>
          <w:tab w:val="num" w:pos="900"/>
          <w:tab w:val="left" w:pos="1080"/>
        </w:tabs>
        <w:ind w:left="900"/>
        <w:rPr>
          <w:sz w:val="20"/>
          <w:szCs w:val="20"/>
        </w:rPr>
      </w:pPr>
      <w:r>
        <w:rPr>
          <w:sz w:val="20"/>
          <w:szCs w:val="20"/>
        </w:rPr>
        <w:lastRenderedPageBreak/>
        <w:t xml:space="preserve">the appraiser’s signed certification and the appraisal summary and for all acquisitions of an interest in real property estimated to have a market value of more than $10,000 </w:t>
      </w:r>
      <w:r>
        <w:rPr>
          <w:i/>
          <w:iCs/>
          <w:sz w:val="20"/>
          <w:szCs w:val="20"/>
        </w:rPr>
        <w:t xml:space="preserve">[This threshold amount changes to $2,500 if an </w:t>
      </w:r>
      <w:r>
        <w:rPr>
          <w:i/>
          <w:iCs/>
          <w:sz w:val="20"/>
          <w:szCs w:val="20"/>
        </w:rPr>
        <w:lastRenderedPageBreak/>
        <w:t xml:space="preserve">acquisition of an interest in real property with Federal grant dollars or matching cash did </w:t>
      </w:r>
      <w:r>
        <w:rPr>
          <w:i/>
          <w:iCs/>
          <w:sz w:val="20"/>
          <w:szCs w:val="20"/>
          <w:u w:val="single"/>
        </w:rPr>
        <w:t>not</w:t>
      </w:r>
      <w:r>
        <w:rPr>
          <w:i/>
          <w:iCs/>
          <w:sz w:val="20"/>
          <w:szCs w:val="20"/>
        </w:rPr>
        <w:t xml:space="preserve"> qualify for the exception process of 49 CFR 24.101(a).  However, the threshold remains at $10,000 for matching in-kind contributions of real property where the match provider takes title before the USFWS receives the proposal.  The appraisal summary must include legal description and location of property, acreage, estimated value, a statement that the appraisal was prepared in accordance with the Uniform Appraisal Standards for Federal Land Acquisitions, the estate evaluated (e.g.,“fee title, less oil and gas rights, and subject to a 100 ft by 800 ft electrical transmission line easement”), and a list of structures with values assigned to each.]</w:t>
      </w:r>
      <w:r>
        <w:rPr>
          <w:sz w:val="20"/>
          <w:szCs w:val="20"/>
        </w:rPr>
        <w:t xml:space="preserve"> unless the acquisition qualifies for an administrative valuation formula authorized by law, regulation, and/or USFWS policy (e.g., minimally restrictive wetland and grassland easements in the Prairie Pothole Region), in which case the recipient must submit documentation of how the formula was applied to arrive at a value for the interest in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sz w:val="20"/>
          <w:szCs w:val="20"/>
        </w:rPr>
      </w:pPr>
      <w:r>
        <w:rPr>
          <w:sz w:val="20"/>
          <w:szCs w:val="20"/>
        </w:rPr>
        <w:t xml:space="preserve">(b) </w:t>
      </w:r>
      <w:r>
        <w:rPr>
          <w:sz w:val="20"/>
          <w:szCs w:val="20"/>
        </w:rPr>
        <w:tab/>
        <w:t xml:space="preserve">the appraiser’s signed certification and the appraisal summary </w:t>
      </w:r>
      <w:r>
        <w:rPr>
          <w:sz w:val="20"/>
          <w:szCs w:val="20"/>
          <w:u w:val="single"/>
        </w:rPr>
        <w:t>or</w:t>
      </w:r>
      <w:r>
        <w:rPr>
          <w:sz w:val="20"/>
          <w:szCs w:val="20"/>
        </w:rPr>
        <w:t xml:space="preserve"> other documentation of value for acquisitions estimated to have a market value of $10,000 or less, </w:t>
      </w:r>
      <w:r>
        <w:rPr>
          <w:i/>
          <w:iCs/>
          <w:sz w:val="20"/>
          <w:szCs w:val="20"/>
        </w:rPr>
        <w:t xml:space="preserve">[This threshold amount changes to $2,500 if the acquisition of an interest in real property with Federal grant dollars or matching cash did </w:t>
      </w:r>
      <w:r>
        <w:rPr>
          <w:i/>
          <w:iCs/>
          <w:sz w:val="20"/>
          <w:szCs w:val="20"/>
          <w:u w:val="single"/>
        </w:rPr>
        <w:t>not</w:t>
      </w:r>
      <w:r>
        <w:rPr>
          <w:i/>
          <w:iCs/>
          <w:sz w:val="20"/>
          <w:szCs w:val="20"/>
        </w:rPr>
        <w:t xml:space="preserve"> qualify for the exception process of 49 CFR 24.101(a).  However, the threshold remains $10,000  for matching in-kind contributions of real property where the match provider takes title before the USFWS receives the proposal. The appraisal summary must include legal description and location of property, acreage, estimated value, appraisal standards that were used with any qualifications or additional standards noted, estate evaluated (e.g., “fee title, less oil and gas rights, and subject to a 100 ft by 800 ft electrical transmission line easement”), and a list of structures with values assigned to each.] </w:t>
      </w:r>
      <w:r>
        <w:rPr>
          <w:sz w:val="20"/>
          <w:szCs w:val="20"/>
        </w:rPr>
        <w:t>unless the acquisition qualifies for an administrative valuation formula authorized by law, regulation, and/or USFWS policy (e.g., minimally restrictive wetland and grassland easements in the Prairie Pothole Region), in which case the recipient must submit documentation of how the formula was applied to arrive at a value for the interest in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firstLine="180"/>
        <w:rPr>
          <w:sz w:val="20"/>
          <w:szCs w:val="20"/>
        </w:rPr>
      </w:pPr>
      <w:r>
        <w:rPr>
          <w:sz w:val="20"/>
          <w:szCs w:val="20"/>
        </w:rPr>
        <w:t xml:space="preserve">©)  if the acquisition of an interest in real property did </w:t>
      </w:r>
      <w:r>
        <w:rPr>
          <w:sz w:val="20"/>
          <w:szCs w:val="20"/>
          <w:u w:val="single"/>
        </w:rPr>
        <w:t>not</w:t>
      </w:r>
      <w:r>
        <w:rPr>
          <w:sz w:val="20"/>
          <w:szCs w:val="20"/>
        </w:rPr>
        <w:t xml:space="preserve"> qualify for the exception process of 49 CFR 24.101(a) or if                            specifically required by USFWS, an appraisal review by a USFWS or private independent reviewing appraiser;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sz w:val="20"/>
          <w:szCs w:val="20"/>
        </w:rPr>
      </w:pPr>
      <w:r>
        <w:rPr>
          <w:sz w:val="20"/>
          <w:szCs w:val="20"/>
        </w:rPr>
        <w:t xml:space="preserve">(d)  a copy of a letter or other written communication to the seller of real property signed and dated by an authorized                            representative of the buyer and the seller that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sz w:val="20"/>
          <w:szCs w:val="20"/>
        </w:rPr>
      </w:pPr>
      <w:r>
        <w:rPr>
          <w:sz w:val="20"/>
          <w:szCs w:val="20"/>
        </w:rPr>
        <w:t>(I) clearly advises the owner that it will be unable to acquire the property in the event negotiations fail to result in an amicable agreement [i.e., the buyer does not have condemnation (or eminent domain)authority],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16"/>
          <w:szCs w:val="16"/>
        </w:rPr>
      </w:pPr>
      <w:r>
        <w:rPr>
          <w:sz w:val="20"/>
          <w:szCs w:val="20"/>
        </w:rPr>
        <w:t>(ii) informs the seller of what the buyer believes to be the fair market value of the property;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1080"/>
        <w:rPr>
          <w:rFonts w:ascii="Times New Roman" w:hAnsi="Times New Roman" w:cs="Times New Roman"/>
          <w:sz w:val="20"/>
          <w:szCs w:val="20"/>
        </w:rPr>
      </w:pPr>
      <w:r>
        <w:rPr>
          <w:rFonts w:ascii="Times New Roman" w:hAnsi="Times New Roman" w:cs="Times New Roman"/>
          <w:sz w:val="16"/>
          <w:szCs w:val="16"/>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u w:val="single"/>
        </w:rPr>
        <w:t>OR</w:t>
      </w:r>
      <w:r>
        <w:rPr>
          <w:rFonts w:ascii="Times New Roman" w:hAnsi="Times New Roman" w:cs="Times New Roman"/>
          <w:sz w:val="20"/>
          <w:szCs w:val="20"/>
        </w:rPr>
        <w:t>, in lieu of (d)(I) &amp; (ii),</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108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a signed statement by the seller that he or she had received and read the buyer’s notice sent for the purpose of qualifying for the 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firstLine="180"/>
        <w:rPr>
          <w:rFonts w:ascii="Times New Roman" w:hAnsi="Times New Roman" w:cs="Times New Roman"/>
          <w:sz w:val="20"/>
          <w:szCs w:val="20"/>
        </w:rPr>
      </w:pPr>
      <w:r>
        <w:rPr>
          <w:rFonts w:ascii="Times New Roman" w:hAnsi="Times New Roman" w:cs="Times New Roman"/>
          <w:sz w:val="20"/>
          <w:szCs w:val="20"/>
        </w:rPr>
        <w:t xml:space="preserve">(e)   if the acquisition of an interest in real property did </w:t>
      </w:r>
      <w:r>
        <w:rPr>
          <w:rFonts w:ascii="Times New Roman" w:hAnsi="Times New Roman" w:cs="Times New Roman"/>
          <w:sz w:val="20"/>
          <w:szCs w:val="20"/>
          <w:u w:val="single"/>
        </w:rPr>
        <w:t>not</w:t>
      </w:r>
      <w:r>
        <w:rPr>
          <w:rFonts w:ascii="Times New Roman" w:hAnsi="Times New Roman" w:cs="Times New Roman"/>
          <w:sz w:val="20"/>
          <w:szCs w:val="20"/>
        </w:rPr>
        <w:t xml:space="preserve"> qualify for the exception process of 49 CFR 24.101(a), a copy of                   the initial Notice to the Owner, which is sent to the owner as soon as feasible after the real property is identified for                          possible acquisition, and which must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 (I) state the buyer’s interest in acquiring the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 (ii) state the buyer’s obligation to secure an appraisal completed in accordance with the Uniform Appraisal Standards for    Federal Land Acquisition and the buyer’s obligation to have that appraisal reviewed (a written statement or other documentary evidence from the buyer will substitute for a copy of the Notice to the Owner if it indicates that the buyer sent the Notice to the Owner as required);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firstLine="180"/>
        <w:rPr>
          <w:rFonts w:ascii="Times New Roman" w:hAnsi="Times New Roman" w:cs="Times New Roman"/>
          <w:sz w:val="20"/>
          <w:szCs w:val="20"/>
        </w:rPr>
      </w:pPr>
      <w:r>
        <w:rPr>
          <w:rFonts w:ascii="Times New Roman" w:hAnsi="Times New Roman" w:cs="Times New Roman"/>
          <w:sz w:val="20"/>
          <w:szCs w:val="20"/>
        </w:rPr>
        <w:t xml:space="preserve">(f)  if the acquisition of an interest in real property did </w:t>
      </w:r>
      <w:r>
        <w:rPr>
          <w:rFonts w:ascii="Times New Roman" w:hAnsi="Times New Roman" w:cs="Times New Roman"/>
          <w:sz w:val="20"/>
          <w:szCs w:val="20"/>
          <w:u w:val="single"/>
        </w:rPr>
        <w:t>not</w:t>
      </w:r>
      <w:r>
        <w:rPr>
          <w:rFonts w:ascii="Times New Roman" w:hAnsi="Times New Roman" w:cs="Times New Roman"/>
          <w:sz w:val="20"/>
          <w:szCs w:val="20"/>
        </w:rPr>
        <w:t xml:space="preserve"> qualify for the exception process of 49 CFR 24.101(a), a copy of a                 Summary Statement of Just Compensation that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(I) offers to buy the real property or offers to buy the real property subject to a due diligence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(ii) states the amount offered as just compensation and, in the case of a partial acquisition, states separately the compensation for the real property to be acquired and the compensation for damages, if any, to the remaining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(iii) includes a description and location identification of the real property and the interest in real property to be acquired,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(iv) identifies the buildings, structures, and other improvements (including removable building equipment and trade </w:t>
      </w:r>
      <w:r>
        <w:rPr>
          <w:rFonts w:ascii="Times New Roman" w:hAnsi="Times New Roman" w:cs="Times New Roman"/>
          <w:sz w:val="20"/>
          <w:szCs w:val="20"/>
        </w:rPr>
        <w:lastRenderedPageBreak/>
        <w:t xml:space="preserve">fixtures) which are considered to be part of the real property for which the offer of just compensation is made and, where appropriate, the statement shall identify any separately held interest in the property, e.g., a tenant-owned improvement, and indicate that such interest is not covered by the offer;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(g)</w:t>
      </w:r>
      <w:r>
        <w:rPr>
          <w:rFonts w:ascii="Times New Roman" w:hAnsi="Times New Roman" w:cs="Times New Roman"/>
          <w:sz w:val="20"/>
          <w:szCs w:val="20"/>
        </w:rPr>
        <w:tab/>
        <w:t xml:space="preserve">a letter or signed statement from a seller that donates any difference between the market value and the selling price; </w:t>
      </w:r>
      <w:r>
        <w:rPr>
          <w:rFonts w:ascii="Times New Roman" w:hAnsi="Times New Roman" w:cs="Times New Roman"/>
          <w:sz w:val="20"/>
          <w:szCs w:val="20"/>
          <w:u w:val="single"/>
        </w:rPr>
        <w:t>OR</w:t>
      </w:r>
      <w:r>
        <w:rPr>
          <w:rFonts w:ascii="Times New Roman" w:hAnsi="Times New Roman" w:cs="Times New Roman"/>
          <w:sz w:val="20"/>
          <w:szCs w:val="20"/>
        </w:rPr>
        <w:t xml:space="preserve">, in lieu of the letter or signed statement from the seller, a copy of the buyer’s notice to the seller as required by 49 CFR 24.101(a) exception process [see (d) above] with the seller’s signature and the date of his or her signature, would substitute for a letter from the seller donating the difference between the fair market value and the selling price;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(h)</w:t>
      </w:r>
      <w:r>
        <w:rPr>
          <w:rFonts w:ascii="Times New Roman" w:hAnsi="Times New Roman" w:cs="Times New Roman"/>
          <w:sz w:val="20"/>
          <w:szCs w:val="20"/>
        </w:rPr>
        <w:tab/>
        <w:t>a copy of any option, exercised option, and purchase agreement (also called contract of sale, sales contract deposit receipt, offer and acceptance, agreement of sale, offer to lease or purchase, and sale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(I)</w:t>
      </w:r>
      <w:r>
        <w:rPr>
          <w:rFonts w:ascii="Times New Roman" w:hAnsi="Times New Roman" w:cs="Times New Roman"/>
          <w:sz w:val="20"/>
          <w:szCs w:val="20"/>
        </w:rPr>
        <w:tab/>
        <w:t>a copy of the closing statement (also called the settlement statement or adjustment sheet);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(j)</w:t>
      </w:r>
      <w:r>
        <w:rPr>
          <w:rFonts w:ascii="Times New Roman" w:hAnsi="Times New Roman" w:cs="Times New Roman"/>
          <w:sz w:val="20"/>
          <w:szCs w:val="20"/>
        </w:rPr>
        <w:tab/>
        <w:t>a copy of any deed, easement, or assignment of lease that transfers ownership to (I) the recipient, subrecipient, or match provider, and (ii) any subsequent owner as provided in the proposal or approved by the grant officer (copies must demonstrate that the documents were recorded);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sectPr w:rsidR="001F0636">
          <w:type w:val="continuous"/>
          <w:pgSz w:w="12240" w:h="15840"/>
          <w:pgMar w:top="720" w:right="54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lastRenderedPageBreak/>
        <w:t xml:space="preserve">(k)  either (I) a statement certifying that the real property acquired had no tenants, </w:t>
      </w:r>
      <w:r>
        <w:rPr>
          <w:rFonts w:ascii="Times New Roman" w:hAnsi="Times New Roman" w:cs="Times New Roman"/>
          <w:sz w:val="20"/>
          <w:szCs w:val="20"/>
          <w:u w:val="single"/>
        </w:rPr>
        <w:t>or</w:t>
      </w:r>
      <w:r>
        <w:rPr>
          <w:rFonts w:ascii="Times New Roman" w:hAnsi="Times New Roman" w:cs="Times New Roman"/>
          <w:sz w:val="20"/>
          <w:szCs w:val="20"/>
        </w:rPr>
        <w:t xml:space="preserve"> (ii) a copy of a notice of relocation               </w:t>
      </w:r>
      <w:r>
        <w:rPr>
          <w:rFonts w:ascii="Times New Roman" w:hAnsi="Times New Roman" w:cs="Times New Roman"/>
          <w:sz w:val="20"/>
          <w:szCs w:val="20"/>
        </w:rPr>
        <w:tab/>
      </w:r>
      <w:r>
        <w:rPr>
          <w:rFonts w:ascii="Times New Roman" w:hAnsi="Times New Roman" w:cs="Times New Roman"/>
          <w:sz w:val="20"/>
          <w:szCs w:val="20"/>
        </w:rPr>
        <w:tab/>
        <w:t xml:space="preserve">eligibility as required in 49 CFR 24.203 and a statement certifying that the recipient provided tenants with relocation             assistance advice and relocation assistance as required in 49 CFR, part 24, with an itemized breakdown of any relocation       payments made to the tenant;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(l)</w:t>
      </w:r>
      <w:r>
        <w:rPr>
          <w:rFonts w:ascii="Times New Roman" w:hAnsi="Times New Roman" w:cs="Times New Roman"/>
          <w:sz w:val="20"/>
          <w:szCs w:val="20"/>
        </w:rPr>
        <w:tab/>
        <w:t xml:space="preserve">if the acquisition of an interest in real property did </w:t>
      </w:r>
      <w:r>
        <w:rPr>
          <w:rFonts w:ascii="Times New Roman" w:hAnsi="Times New Roman" w:cs="Times New Roman"/>
          <w:sz w:val="20"/>
          <w:szCs w:val="20"/>
          <w:u w:val="single"/>
        </w:rPr>
        <w:t>not</w:t>
      </w:r>
      <w:r>
        <w:rPr>
          <w:rFonts w:ascii="Times New Roman" w:hAnsi="Times New Roman" w:cs="Times New Roman"/>
          <w:sz w:val="20"/>
          <w:szCs w:val="20"/>
        </w:rPr>
        <w:t xml:space="preserve"> qualify for the exception process of 49 CFR 24.101(a), a copy of a notice of relocation eligibility as required in 49 CFR 24.203 and a statement certifying that the recipient provided landowners with relocation assistance advice and relocation assistance as required in 49 CFR, part 24, with an itemized breakdown of any relocation payments made to the landowner.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pPr>
      <w:r>
        <w:rPr>
          <w:rFonts w:ascii="Times New Roman" w:hAnsi="Times New Roman" w:cs="Times New Roman"/>
          <w:sz w:val="20"/>
          <w:szCs w:val="20"/>
        </w:rPr>
        <w:t>(8)</w:t>
      </w:r>
      <w:r>
        <w:rPr>
          <w:rFonts w:ascii="Times New Roman" w:hAnsi="Times New Roman" w:cs="Times New Roman"/>
          <w:sz w:val="20"/>
          <w:szCs w:val="20"/>
        </w:rPr>
        <w:tab/>
      </w:r>
      <w:r>
        <w:rPr>
          <w:rFonts w:ascii="Times New Roman" w:hAnsi="Times New Roman" w:cs="Times New Roman"/>
          <w:sz w:val="20"/>
          <w:szCs w:val="20"/>
          <w:u w:val="single"/>
        </w:rPr>
        <w:t>Notice of Property Restriction</w:t>
      </w:r>
      <w:r>
        <w:rPr>
          <w:rFonts w:ascii="Times New Roman" w:hAnsi="Times New Roman" w:cs="Times New Roman"/>
          <w:sz w:val="20"/>
          <w:szCs w:val="20"/>
        </w:rPr>
        <w:t>.  The grant officer must receive certified copies of recorded Notices of Property Restriction for all interests in real property acquired for the project including those interests received as matching in-kind contributions.  If the required language of a Notice of Property Restriction is included in the deed, easement, lease or other recorded conveyance document for a specific interest in real property, such language may substitute for a Notice of Property Restriction.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(9)  </w:t>
      </w:r>
      <w:r>
        <w:rPr>
          <w:rFonts w:ascii="Times New Roman" w:hAnsi="Times New Roman" w:cs="Times New Roman"/>
          <w:sz w:val="20"/>
          <w:szCs w:val="20"/>
          <w:u w:val="single"/>
        </w:rPr>
        <w:t>Equipment Inventory</w:t>
      </w:r>
      <w:r>
        <w:rPr>
          <w:rFonts w:ascii="Times New Roman" w:hAnsi="Times New Roman" w:cs="Times New Roman"/>
          <w:sz w:val="20"/>
          <w:szCs w:val="20"/>
        </w:rPr>
        <w:t xml:space="preserve">.  Equipment is tangible non-expendable personal property, including exempt property charged directly to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the award, having a useful life of more than one year and an acquisition cost of $5,000 or more per unit.  However, consistent with recipient policy, lower limits may be established. An inventory of all equipment must be conducted at the end of the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funding period or upon delivery of the equipment whichever is later.  The data that must be collected is described in this policy in a question and answer specific to equipment inventory.  A recipient that is a State, Commonwealth, Territory, or the District of Columbia is exempt from this requirement.  The recipient must indicate whether it needs the equipment for its continuing responsibilities under the award or for other projects or programs sponsored by the Federal government.  If the equipment is needed for other federally sponsored projects or programs, the recipient must provide the name of the project or program, an address, a telephone number, and a contact person for each project or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pPr>
      <w:r>
        <w:rPr>
          <w:rFonts w:ascii="Times New Roman" w:hAnsi="Times New Roman" w:cs="Times New Roman"/>
          <w:sz w:val="20"/>
          <w:szCs w:val="20"/>
        </w:rPr>
        <w:t xml:space="preserve">(10) </w:t>
      </w:r>
      <w:r>
        <w:rPr>
          <w:rFonts w:ascii="Times New Roman" w:hAnsi="Times New Roman" w:cs="Times New Roman"/>
          <w:sz w:val="20"/>
          <w:szCs w:val="20"/>
          <w:u w:val="single"/>
        </w:rPr>
        <w:t>Inventory of Unused Supplies Exceeding $5,000</w:t>
      </w:r>
      <w:r>
        <w:rPr>
          <w:rFonts w:ascii="Times New Roman" w:hAnsi="Times New Roman" w:cs="Times New Roman"/>
          <w:sz w:val="20"/>
          <w:szCs w:val="20"/>
        </w:rPr>
        <w:t xml:space="preserve">.  The recipient must send with the final performance report an inventory of       </w:t>
      </w:r>
      <w:r>
        <w:rPr>
          <w:rFonts w:ascii="Times New Roman" w:hAnsi="Times New Roman" w:cs="Times New Roman"/>
          <w:sz w:val="20"/>
          <w:szCs w:val="20"/>
        </w:rPr>
        <w:tab/>
      </w:r>
      <w:r>
        <w:rPr>
          <w:rFonts w:ascii="Times New Roman" w:hAnsi="Times New Roman" w:cs="Times New Roman"/>
          <w:sz w:val="20"/>
          <w:szCs w:val="20"/>
        </w:rPr>
        <w:tab/>
        <w:t>unused supplies if the total aggregate value upon completion of the project exceeds $5,000.  The recipient must indicate           whether: (a) it needs the unused supplies for any other federally sponsored project or program and provide the name, address,  telephone number, and a contact person for each project or program; (b) it needs the unused supplies for non-Federal sponsored   activities; or ©) it intends to sell the unused supplies.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(11) </w:t>
      </w:r>
      <w:r>
        <w:rPr>
          <w:rFonts w:ascii="Times New Roman" w:hAnsi="Times New Roman" w:cs="Times New Roman"/>
          <w:sz w:val="20"/>
          <w:szCs w:val="20"/>
          <w:u w:val="single"/>
        </w:rPr>
        <w:t>Report of Federal Cash Transactions</w:t>
      </w:r>
      <w:r>
        <w:rPr>
          <w:rFonts w:ascii="Times New Roman" w:hAnsi="Times New Roman" w:cs="Times New Roman"/>
          <w:sz w:val="20"/>
          <w:szCs w:val="20"/>
        </w:rPr>
        <w:t>.  The recipient must complete a quarterly Report of Federal Cash Transactions (Standard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Form 272) and must use the electronic PSC-272 system available through SMARTLINK, an efficient way of reporting this data.  The recipient is required to submit the SF-272 (or any successor financial status form that incorporates the SF-272) 30 work days after the end of each quarter.  The quarters end on March 31, June 30, September 30, and December 31.  Recipients do not have to submit reports for the partial quarters that usually occur at the beginning and end of each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(12) </w:t>
      </w:r>
      <w:r>
        <w:rPr>
          <w:rFonts w:ascii="Times New Roman" w:hAnsi="Times New Roman" w:cs="Times New Roman"/>
          <w:sz w:val="20"/>
          <w:szCs w:val="20"/>
          <w:u w:val="single"/>
        </w:rPr>
        <w:t xml:space="preserve"> Proposed Acquisition of Real Property not Identified in Proposal</w:t>
      </w:r>
      <w:r>
        <w:rPr>
          <w:rFonts w:ascii="Times New Roman" w:hAnsi="Times New Roman" w:cs="Times New Roman"/>
          <w:sz w:val="20"/>
          <w:szCs w:val="20"/>
        </w:rPr>
        <w:t xml:space="preserve">.  If a real property acquisition is not identified in the original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 xml:space="preserve">proposal, the recipient must submit to the grant officer the number of acres, boundaries, and map location of any interest in real    property to be acquired with Federal grant dollars as soon as the interest in real property is identified as a potential acquisition      and before any offer is made to the owner.  The recipient must also demonstrate that the proposed acquisition is ecologically an integral part of the original project area and that it will serve the project purpose.  This required notification, in part, will ensure that the Secretary of the Interior will be able to make a determination that the real property interests are needed for the National Wildlife Refuge System as required in Section 6.(a)(1) of NAWCA.  The required notification will also alert the grant officer that the proposed acquisition must comply with the National Historic Preservation Act, the National Environmental Policy Act, the Endangered Species Act, and contaminants requirements (for lands to be included in the National Wildlife Refuge System).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(13) </w:t>
      </w:r>
      <w:r>
        <w:rPr>
          <w:rFonts w:ascii="Sakkal Majalla" w:hAnsi="Sakkal Majalla" w:cs="Sakkal Majalla"/>
          <w:i/>
          <w:iCs/>
          <w:sz w:val="20"/>
          <w:szCs w:val="20"/>
          <w:u w:val="single"/>
        </w:rPr>
        <w:t>Birdscapes</w:t>
      </w:r>
      <w:r>
        <w:rPr>
          <w:rFonts w:ascii="Sakkal Majalla" w:hAnsi="Sakkal Majalla" w:cs="Sakkal Majalla"/>
          <w:sz w:val="20"/>
          <w:szCs w:val="20"/>
          <w:u w:val="single"/>
        </w:rPr>
        <w:t xml:space="preserve"> Article with Images</w:t>
      </w:r>
      <w:r>
        <w:rPr>
          <w:rFonts w:ascii="Times New Roman" w:hAnsi="Times New Roman" w:cs="Times New Roman"/>
          <w:sz w:val="20"/>
          <w:szCs w:val="20"/>
        </w:rPr>
        <w:t>.  Recipients must provide the following to the Division of Bird Habitat Conservation's Director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rPr>
      </w:pPr>
      <w:r>
        <w:rPr>
          <w:rFonts w:ascii="Times New Roman" w:hAnsi="Times New Roman" w:cs="Times New Roman"/>
          <w:sz w:val="20"/>
          <w:szCs w:val="20"/>
        </w:rPr>
        <w:t xml:space="preserve">of Communications at the address below: (a) a 500-to-750-word article (final word count to be determined by the Director of Communications) about the completed project in digital format and hard copy, including information about the history of the site, the site’s uniqueness, the need for the project, the work accomplished, the  habitat types protected, restored, and/or </w:t>
      </w:r>
      <w:r>
        <w:rPr>
          <w:rFonts w:ascii="Times New Roman" w:hAnsi="Times New Roman" w:cs="Times New Roman"/>
          <w:sz w:val="20"/>
          <w:szCs w:val="20"/>
        </w:rPr>
        <w:lastRenderedPageBreak/>
        <w:t xml:space="preserve">enhanced, the project’s benefits to wildlife and people, a list of the partners involved, the amount of the NAWCA grant, and the amount of partner dollars, (b) the author’s contact information, including name, title, organization, address, phone, fax, and e-mail address, ©) several 35 mm slides or photographs depicting both the habitat and wildlife affected by the project (images will be returned following publication of the article), and (d) a caption and a credit (photographer’s name and organization) for each image. The recipient must also e-mail to the grant officer a copy of the article and author information as described in (b) above.  </w:t>
      </w:r>
      <w:r>
        <w:rPr>
          <w:rFonts w:ascii="Sakkal Majalla" w:hAnsi="Sakkal Majalla" w:cs="Sakkal Majalla"/>
          <w:i/>
          <w:iCs/>
          <w:sz w:val="20"/>
          <w:szCs w:val="20"/>
        </w:rPr>
        <w:t>Birdscapes</w:t>
      </w:r>
      <w:r>
        <w:rPr>
          <w:rFonts w:ascii="Sakkal Majalla" w:hAnsi="Sakkal Majalla" w:cs="Sakkal Majalla"/>
          <w:sz w:val="20"/>
          <w:szCs w:val="20"/>
        </w:rPr>
        <w:t xml:space="preserve"> is sent to 76 countries, with a distribution of more than 15,000 copies, providing the recipient an opportunity to promote the project partners’ work and the NAWCA grants program to other conservationists and to Members of Congress. All grantees’ names will be added to the </w:t>
      </w:r>
      <w:r>
        <w:rPr>
          <w:rFonts w:ascii="Sakkal Majalla" w:hAnsi="Sakkal Majalla" w:cs="Sakkal Majalla"/>
          <w:i/>
          <w:iCs/>
          <w:sz w:val="20"/>
          <w:szCs w:val="20"/>
        </w:rPr>
        <w:t>Birdscapes</w:t>
      </w:r>
      <w:r>
        <w:rPr>
          <w:rFonts w:ascii="Sakkal Majalla" w:hAnsi="Sakkal Majalla" w:cs="Sakkal Majalla"/>
          <w:sz w:val="20"/>
          <w:szCs w:val="20"/>
        </w:rPr>
        <w:t xml:space="preserve"> mailing list following each Migratory Bird Conservation Commission meeting.</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Director of Communications</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U.S. Fish and Wildlife Service</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Division of Bird Habitat Conservation</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4401 North Fairfax Drive</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Mail Stop 4075</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Arlington, Virginia 22203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0800"/>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0800"/>
        <w:rPr>
          <w:rFonts w:ascii="Times New Roman" w:hAnsi="Times New Roman" w:cs="Times New Roman"/>
          <w:b/>
          <w:bCs/>
          <w:sz w:val="16"/>
          <w:szCs w:val="16"/>
        </w:rPr>
        <w:sectPr w:rsidR="001F0636">
          <w:type w:val="continuous"/>
          <w:pgSz w:w="12240" w:h="15840"/>
          <w:pgMar w:top="720" w:right="54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lastRenderedPageBreak/>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(1-3, 7-10)  43 CFR 12.82(e) and 43 CFR 12.953(e) state that the awarding agency has the right of unrestricted access to any documents or records of recipients that are pertinent to the award for examination purposes.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(1)  36 CFR 800.3 requires an awarding agency to determine whether the proposed action is an “undertaking” and, if so, whether it is a type of activity that has the potential to cause affects on historic properties.  An “undertaking” is defined at 36 CFR 800.16(y) as “a project, activity, or program funded in whole or in part under the direct or indirect jurisdiction of a Federal agency, including those carried out by or on behalf of a Federal agency; those carried out with Federal financial assistance; those requiring a Federal permit, license, or approval; and those subject to State or local regulation administered pursuant to a delegation or approval by a Federal agency.”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(2)  National Environmental Policy Act EPA documentation is required by the following provision of NAWCA: “Solely for the purpose of the National Environmental Policy Act of 1969 (42 U.S.C. 4321 et seq.), recommendations by the Council for carrying out wetlands conservation projects under section 4405(a) of this title shall be considered Federal actions requiring the preparation of environmental assessments or, where appropriate, environmental impact statements.”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fldChar w:fldCharType="begin"/>
      </w:r>
      <w:r>
        <w:rPr>
          <w:rFonts w:ascii="Times New Roman" w:hAnsi="Times New Roman" w:cs="Times New Roman"/>
          <w:sz w:val="16"/>
          <w:szCs w:val="16"/>
        </w:rPr>
        <w:instrText>ADVANCE \d4</w:instrText>
      </w:r>
      <w:r>
        <w:rPr>
          <w:rFonts w:ascii="Times New Roman" w:hAnsi="Times New Roman" w:cs="Times New Roman"/>
          <w:sz w:val="16"/>
          <w:szCs w:val="16"/>
        </w:rPr>
        <w:fldChar w:fldCharType="end"/>
      </w:r>
      <w:r>
        <w:rPr>
          <w:rFonts w:ascii="Sakkal Majalla" w:hAnsi="Sakkal Majalla" w:cs="Sakkal Majalla"/>
          <w:sz w:val="16"/>
          <w:szCs w:val="16"/>
        </w:rPr>
        <w:t>(3)  Section 9601(35)(A) of the Comprehensive Environmental Response, Compensation, and Liability Act (</w:t>
      </w:r>
      <w:r>
        <w:rPr>
          <w:rFonts w:ascii="Times New Roman" w:hAnsi="Times New Roman" w:cs="Times New Roman"/>
          <w:sz w:val="16"/>
          <w:szCs w:val="16"/>
        </w:rPr>
        <w:t>CERCLA) provides protection for "innocent purchasers," including the United States, if at the time the owner acquired the real property the owner did not know and had no reason to know that any hazardous substance was disposed of on, in, or at the property (42 U.S.C. 9601 et seq).  To establish that the owner had no reason to know for purposes of 9601(35)(A)(I), the owner must have undertaken at the time of acquisition "</w:t>
      </w:r>
      <w:r>
        <w:rPr>
          <w:rFonts w:ascii="Times New Roman" w:hAnsi="Times New Roman" w:cs="Times New Roman"/>
          <w:b/>
          <w:bCs/>
          <w:sz w:val="16"/>
          <w:szCs w:val="16"/>
        </w:rPr>
        <w:t>all appropriate inquiry</w:t>
      </w:r>
      <w:r>
        <w:rPr>
          <w:rFonts w:ascii="Times New Roman" w:hAnsi="Times New Roman" w:cs="Times New Roman"/>
          <w:sz w:val="16"/>
          <w:szCs w:val="16"/>
        </w:rPr>
        <w:t xml:space="preserve"> into the previous ownership and uses of the property consistent with good commercial or customary practice in an effort to minimize liability." 9601 (35)(B) (emphasis added). Factors that will be considered by a court in determining if this standard has been met include: any</w:t>
      </w:r>
      <w:r>
        <w:rPr>
          <w:rFonts w:ascii="Times New Roman" w:hAnsi="Times New Roman" w:cs="Times New Roman"/>
          <w:b/>
          <w:bCs/>
          <w:sz w:val="16"/>
          <w:szCs w:val="16"/>
        </w:rPr>
        <w:t xml:space="preserve"> specialized knowledge</w:t>
      </w:r>
      <w:r>
        <w:rPr>
          <w:rFonts w:ascii="Times New Roman" w:hAnsi="Times New Roman" w:cs="Times New Roman"/>
          <w:sz w:val="16"/>
          <w:szCs w:val="16"/>
        </w:rPr>
        <w:t xml:space="preserve"> or experience by the owner, the relationship of the purchase price to the value of the property if uncontaminated, commonly known or </w:t>
      </w:r>
      <w:r>
        <w:rPr>
          <w:rFonts w:ascii="Times New Roman" w:hAnsi="Times New Roman" w:cs="Times New Roman"/>
          <w:b/>
          <w:bCs/>
          <w:sz w:val="16"/>
          <w:szCs w:val="16"/>
        </w:rPr>
        <w:t>"reasonably ascertainable"</w:t>
      </w:r>
      <w:r>
        <w:rPr>
          <w:rFonts w:ascii="Times New Roman" w:hAnsi="Times New Roman" w:cs="Times New Roman"/>
          <w:sz w:val="16"/>
          <w:szCs w:val="16"/>
        </w:rPr>
        <w:t xml:space="preserve"> information about the property, and the </w:t>
      </w:r>
      <w:r>
        <w:rPr>
          <w:rFonts w:ascii="Times New Roman" w:hAnsi="Times New Roman" w:cs="Times New Roman"/>
          <w:b/>
          <w:bCs/>
          <w:sz w:val="16"/>
          <w:szCs w:val="16"/>
        </w:rPr>
        <w:t>ability to detect such contamination by appropriate inspection.</w:t>
      </w:r>
      <w:r>
        <w:rPr>
          <w:rFonts w:ascii="Times New Roman" w:hAnsi="Times New Roman" w:cs="Times New Roman"/>
          <w:sz w:val="16"/>
          <w:szCs w:val="16"/>
        </w:rPr>
        <w:t xml:space="preserve"> 42 U.S.C. 9601(35)(B) (emphasis added).  These provisions are the basis for requiring that a contaminants survey be completed for lands to become part of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 &amp; (5)  43 CFR 12.80 and 43 CFR 12.951 require performance and financial status reports at least annually.  Financial Status Reports are not required for construction projects where the recipients are institutions of higher education, hospitals, and nonprofit organizations.  This appears to be an oversight by the writers of the regulations.   Accordingly, we require that these categories of recipients submit financial status reports (long form) under the provision of 43 CFR 12.951 which stipulates that performance reports contain  brief information on the three items including  “Other pertinent information. . .”.   The source of the requirement for annual reconciliation of continuing assistance awards is OMB Circular A-102, “Grants and Cooperative Agreements with State and Local Governments”, Section 3.b. which states: “Federal agencies shall reconcile continuing awards at least annually and evaluate program performance and financial reports. Items to be reviewed include: (1) A comparison of the recipient’s work plan to its progress reports and project outputs, (2) the Financial Status Report (SF 269), (3) Request(s) for payment, (4) Compliance with any matching, level of effort, or maintenance of effort requirement, and (5) A review of federally-owned property (as distinct from property acquired under the grant).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(6)  43 CFR 12.80 and 43 CFR 12.951 require that performance reports contain brief information on the three items including “Additional pertinent information . . .”, and “Other pertinent information. . .”. respectively.  These provisions are the authorities for requiring that maps or coordinates be submitted with the final performance report.  Otherwise, these required submissions could be construed as prohibited under OMB Circular A-102 §</w:t>
      </w:r>
      <w:r>
        <w:rPr>
          <w:rFonts w:ascii="Times New Roman" w:hAnsi="Times New Roman" w:cs="Times New Roman"/>
          <w:sz w:val="16"/>
          <w:szCs w:val="16"/>
          <w:u w:val="single"/>
        </w:rPr>
        <w:t xml:space="preserve">  </w:t>
      </w:r>
      <w:r>
        <w:rPr>
          <w:rFonts w:ascii="Times New Roman" w:hAnsi="Times New Roman" w:cs="Times New Roman"/>
          <w:sz w:val="16"/>
          <w:szCs w:val="16"/>
        </w:rPr>
        <w:t xml:space="preserve">6 and OMB Circular A-110 § </w:t>
      </w:r>
      <w:r>
        <w:rPr>
          <w:rFonts w:ascii="Times New Roman" w:hAnsi="Times New Roman" w:cs="Times New Roman"/>
          <w:sz w:val="16"/>
          <w:szCs w:val="16"/>
          <w:u w:val="single"/>
        </w:rPr>
        <w:t xml:space="preserve">   </w:t>
      </w:r>
      <w:r>
        <w:rPr>
          <w:rFonts w:ascii="Times New Roman" w:hAnsi="Times New Roman" w:cs="Times New Roman"/>
          <w:sz w:val="16"/>
          <w:szCs w:val="16"/>
        </w:rPr>
        <w:t xml:space="preserve">.1.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(7a-l)  The authority for requiring submission of copies of real property documentation is at 43 CFR 12.82(e) and 43 CFR 12.953(e).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(7a-b)  An appraisal is required by the NAWCA Grants Program even if the recipient qualifies for the 49 CFR 24.101(a) exception process because a cost must be reasonable to be allowable.  An appraisal completed in accordance with nationally recognized appraisal standards is the best way to demonstrate reasonableness.  Furthermore, institutions of higher education, hospitals, and other nonprofit organizations are required at 43 CFR 12.945 to analyze costs or prices in connection with every procurement action.  An appraisal is one way of doing that.  The $10,000 threshold of value was selected because many appraisals obtained pursuant to the NAWCA Grants Program cost in the range of $2,000-$2,500.  The recipient should not generally have to pay appraisal costs that would often cost 25 percent of the value of a $10,000 acquisition.  43 CFR 12.64 authorizes the awarding agency to require recipient States, Tribes, and local governments to obtain an appraisal of real property acquired as match, and 43 CFR 12.923(h)(1) requires recipient institutions of higher education, hospitals, and nonprofit organizations to obtain an appraisal of real property acquired as match.  Thus, the NAWCA Grants Program requires appraisals of all real property acquired as match if the valuation problem is uncomplicated and if the real property is estimated to be worth more than $10,000 based on a review of available data.  The $2,500 threshold is stipulated at 49 CFR 24.102©)(2) for all acquisitions of real property under the basic (or standard) acquisition policies of 49 CFR, part 24, i.e., those acquisitions that do not qualify for the exception process of 49 CFR 24.101(a).  Real property acquired before the funding period as a matching in-kind contribution is not subject to 49 CFR, part 24.  However, the NAWCA Grants Program has adopted, by policy, requirements equivalent to 49 CFR, part 24, for an acquisition where a match provider has taken title after USFWS receives the project proposal.  Thus, neither the basic nor the exception acquisition process apply to acquisitions in this category, and $10,000 will always be the threshold that determines the need for an appraisal.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USFWS Director’s Order No. 170 authorized the use of an administrative valuation formula for minimally restrictive wetland and grassland easements in the Prairie Pothole Region.  It became effective on April 22, 2004, and will expire on June 30, 2005, unless amended, superceded, or rescinded.  The Order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16"/>
          <w:szCs w:val="16"/>
        </w:rPr>
      </w:pPr>
      <w:r>
        <w:rPr>
          <w:rFonts w:ascii="Times New Roman" w:hAnsi="Times New Roman" w:cs="Times New Roman"/>
          <w:sz w:val="16"/>
          <w:szCs w:val="16"/>
        </w:rPr>
        <w:lastRenderedPageBreak/>
        <w:t>The rules implementing Pub. L. 91-646 provide exceptions for application of the law to land acquisition that is voluntary.  There are four conditions that must be met for a transaction to be considered voluntary.  All four are met by the Service’s minimally restrictive conservation easement acquisitions program; therefore Pub. L. 91-646 exemption provisions apply and all minimally-restrictive conservation easements are exempt from the appraisal process.</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(7a-l)  The basic real property acquisition procedures are in 49 CFR, part 24.  Except for relocation requirements, these procedures are primarily at 49 CFR 24.102 through 49 CFR 24.108.  Relocation requirements are in subparts C-F.  The definitions and other provisions of subpart A are fundamental to the understanding of the subsequent subparts of 49 CFR, part 24.  Under the closeout procedures in 43 CFR 12.971(g), the recipient must account for any real property acquired with Federal funds in accordance with 43 CFR 12.931 through 43 CFR 12.937.  Thus the Policy requires that the grant officer receive a copy of documents related to acquisition of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(7d) This letter or other written communication will qualify all recipients and subrecipients for the exception process in 49 CFR24.101(a) if they do not have eminent domain authority.  These statements will also qualify those recipient agencies with eminent domain authority for the exception process if : (a) the sales are voluntary; (b) no specific site or property needs to be acquired, although the agency may limit its search for alternative sites to a general geographic area (where an agency wishes to purchase more than one site within a geographic area on this basis, all owners are to be treated similarly); and ©) the property to be acquired is not part of an intended, planned, or designated project area where all or substantially all of the property within the area is to be acquired within specific time limits.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720" w:right="54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(7e) The Notice to the Owner is required at 49 CFR 24.102(b).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(7f) The Statement of Just Compensation is required at 49 CFR 24.102(e) for the basic or standard acquisition process, i.e., those acquisitions that do not qualify for the exception process of 49 CFR 24.101(a).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(7g)  Department of Transportation, Federal Highway Administration’s Susan Lauffer’s letter to Pat A. Langley of USFWS Division of Federal Aid, Albuquerque, NM, dated May 10, 2000, required that the acquiring organization’s file contain a letter donating the  difference between the fair market value and the selling price.  According to 49 CFR 24.2 </w:t>
      </w:r>
      <w:r>
        <w:rPr>
          <w:rFonts w:ascii="Times New Roman" w:hAnsi="Times New Roman" w:cs="Times New Roman"/>
          <w:i/>
          <w:iCs/>
          <w:sz w:val="20"/>
          <w:szCs w:val="20"/>
        </w:rPr>
        <w:t>Lead Agency</w:t>
      </w:r>
      <w:r>
        <w:rPr>
          <w:rFonts w:ascii="Times New Roman" w:hAnsi="Times New Roman" w:cs="Times New Roman"/>
          <w:sz w:val="20"/>
          <w:szCs w:val="20"/>
        </w:rPr>
        <w:t>, The Department of Transportation is the lead agency for the issuance of 49 CFR, part 24.  Under 42 U.S.C. Section 4633, the lead agency is authorized to issue such procedures as may be necessary to assure that the payments and assistance authorized by this chapter shall be administered in a manner that is fair and reasonable and as uniform as possible.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792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(7k-l) The Notice of Relocation Eligibility is required at 49 CFR 24.203.  The recipient cannot exempt itself from obligations to tenants even if the recipient qualifies under the 49 CFR 24.101(a)(1) exception process as a result of the definition of</w:t>
      </w:r>
      <w:r>
        <w:rPr>
          <w:rFonts w:ascii="Times New Roman" w:hAnsi="Times New Roman" w:cs="Times New Roman"/>
          <w:i/>
          <w:iCs/>
          <w:sz w:val="20"/>
          <w:szCs w:val="20"/>
        </w:rPr>
        <w:t xml:space="preserve"> Persons not displaced</w:t>
      </w:r>
      <w:r>
        <w:rPr>
          <w:rFonts w:ascii="Times New Roman" w:hAnsi="Times New Roman" w:cs="Times New Roman"/>
          <w:sz w:val="20"/>
          <w:szCs w:val="20"/>
        </w:rPr>
        <w:t xml:space="preserve"> at 49 CFR 24.2.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(8)  The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grant officer must receive a copy of documents related to acquisition of real property.  A notice of record (e.g., Notice of Property Restriction) is authorized for real property acquired with Federal funds by institutions of higher education, hospitals, and other nonprofit organizations at 43 CFR 12.937.  Under the closeout procedures in 43 CFR 12.971(g), the recipient must account for any real  property acquired with Federal funds in accordance with 43 CFR 12.931 through 43 CFR 12.937.  The Notice of Property Restriction cannot be finalized until the Federal and recipient costs are verified by the grants officer after the final reports are submitted.  These costs must be verified to ensure that the Federal and recipient’s attributable percentages of the total costs of the project are accurate before entering them on the Notice of Property Restriction prior to recording.  Since the Notices of Grant Agreement are filed chronologically and cross-referenced to deeds, there is no need to have a separate Notice of Property Restriction for every interest in real property acquired under the NAWCA project.  Therefore, for each  jurisdiction of an individual recorder’s office, one Notice of Property Restriction that cross-references each interest acquired in that jurisdiction will suffice.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(9)  All recipients and subrecipient except States, Commonwealths, Territories, and the District of Columbia are required by 43 CFR 12.72 or 43 CFR 12.934 to complete a physical inventory of equipment every two years.   Under the “Closeout Procedures” in 43 CFR 12.971(g), recipient institutions of higher education, hospitals, and other nonprofit organizations must account for any personal property (which includes equipment) acquired with Federal funds in accordance with 43 CFR 12.931 through 43 CFR 12.937.  To implement this required accounting, the Policy requires that the grant officer receive a copy of an inventory of equipment.  Under “Closeout” in 43 CFR 12.90(a), which is applicable to recipient States, Tribes, and local governments, the grant officer must close out the award when he or she determines that the recipient has completed all applicable administrative actions.  This implies authority to require Tribes and local governments to submit to the grant officer a copy of the equipment inventory.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(10) All recipients are required by 43 CFR 12.73 or 43 CFR 12.935 to retain  unused supplies for use on non-Federal sponsored activities or sell them , but in either case the recipient must compensate the Federal government for its share.  Under the “Closeout Procedures” in 43 CFR 12.971(g), recipient institutions of higher education, hospitals, and other nonprofit organizations must account for any personal property (which includes supplies) acquired with Federal funds in accordance with 43 CFR 12.931 through 43 CFR 12.937.  To implement this required accounting, the Policy requires that the grant officer receive a copy of an inventory of unused supplies exceeding $5,000.  Under “Closeout” in 43 CFR 12.90(a), which is applicable to recipient States, Tribes, and local governments, the grant officer must close out the award when he or she determines that all applicable administrative actions have been completed by the recipient.  This implies authority to require Tribes and local governments to submit an inventory of unused supplies exceeding $5,000 to the grant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(11)  The Standard Form 272 (Federal Cash Transactions Report) is required in 43 CFR 12.81©) and 43 CFR 12.952(a)(2).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(12)  The recipient must submit to the grant officer information on potential acquisitions that are not identified in the original proposal before any offer is made to the owner to ensure consistency with the purposes of the grant, and compliance with the National Historic Preservation Act, the National Environmental Policy Act, the Endangered Species Act, contaminants requirements (for lands to be included in the National Wildlife Refuge System), and the requirements of Section 6(a)(3) of the North American Wetlands Conservation Act on the Secretary’s finding that the real property interests should not be included in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(13)  43 CFR 12.80 and 43 CFR 12.951 require that performance reports contain brief information on the three items including “Additional pertinent information . . .” and “Other pertinent information. . .” respectively.   These provisions are the authorities for requiring that a </w:t>
      </w:r>
      <w:r>
        <w:rPr>
          <w:rFonts w:ascii="Times New Roman" w:hAnsi="Times New Roman" w:cs="Times New Roman"/>
          <w:i/>
          <w:iCs/>
          <w:sz w:val="16"/>
          <w:szCs w:val="16"/>
        </w:rPr>
        <w:t>Birdscapes</w:t>
      </w:r>
      <w:r>
        <w:rPr>
          <w:rFonts w:ascii="Times New Roman" w:hAnsi="Times New Roman" w:cs="Times New Roman"/>
          <w:sz w:val="16"/>
          <w:szCs w:val="16"/>
        </w:rPr>
        <w:t xml:space="preserve"> article be submitted with the final performance report.  Otherwise, requiring the article could be construed as prohibited under OMB Circular A-102 §</w:t>
      </w:r>
      <w:r>
        <w:rPr>
          <w:rFonts w:ascii="Times New Roman" w:hAnsi="Times New Roman" w:cs="Times New Roman"/>
          <w:sz w:val="16"/>
          <w:szCs w:val="16"/>
          <w:u w:val="single"/>
        </w:rPr>
        <w:t xml:space="preserve">  </w:t>
      </w:r>
      <w:r>
        <w:rPr>
          <w:rFonts w:ascii="Times New Roman" w:hAnsi="Times New Roman" w:cs="Times New Roman"/>
          <w:sz w:val="16"/>
          <w:szCs w:val="16"/>
        </w:rPr>
        <w:t xml:space="preserve">6 and OMB Circular A-110 § </w:t>
      </w:r>
      <w:r>
        <w:rPr>
          <w:rFonts w:ascii="Times New Roman" w:hAnsi="Times New Roman" w:cs="Times New Roman"/>
          <w:sz w:val="16"/>
          <w:szCs w:val="16"/>
          <w:u w:val="single"/>
        </w:rPr>
        <w:t xml:space="preserve">   </w:t>
      </w:r>
      <w:r>
        <w:rPr>
          <w:rFonts w:ascii="Times New Roman" w:hAnsi="Times New Roman" w:cs="Times New Roman"/>
          <w:sz w:val="16"/>
          <w:szCs w:val="16"/>
        </w:rPr>
        <w:t xml:space="preserve">.1.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lastRenderedPageBreak/>
        <w:t>F.   FINANCIAL ADMINISTRATION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   What is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funding period will usually start on the day designated in the Agreement and end two years later unless it is extended, and will include any allowable pre-agreement costs.  All grant and matching funds must be </w:t>
      </w:r>
      <w:r>
        <w:rPr>
          <w:rFonts w:ascii="Times New Roman" w:hAnsi="Times New Roman" w:cs="Times New Roman"/>
          <w:sz w:val="20"/>
          <w:szCs w:val="20"/>
          <w:u w:val="single"/>
        </w:rPr>
        <w:t>obligated</w:t>
      </w:r>
      <w:r>
        <w:rPr>
          <w:rFonts w:ascii="Times New Roman" w:hAnsi="Times New Roman" w:cs="Times New Roman"/>
          <w:sz w:val="20"/>
          <w:szCs w:val="20"/>
        </w:rPr>
        <w:t xml:space="preserve"> during the funding period and all matching in-kind contributions must be received during the funding period.  The terms funding period and project period. are equivalent.  Although “period of performance” is occasionally used in place of funding period, this term is more appropriate for a contract instead of a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funding period is discussed in 43 CFR 12.63 and 43 CFR 12.928.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“Grants and Cooperative Agreements with State and Local Governments”, OMB Circular A-102, Attachment, paragraph 1.e.(1) states: “Ordinarily awards shall be made at least 10 days prior to the beginning of the grant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F-2.   Do I have to spend grant and matching funds only during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Grant and matching funds must be </w:t>
      </w:r>
      <w:r>
        <w:rPr>
          <w:rFonts w:ascii="Times New Roman" w:hAnsi="Times New Roman" w:cs="Times New Roman"/>
          <w:sz w:val="20"/>
          <w:szCs w:val="20"/>
          <w:u w:val="single"/>
        </w:rPr>
        <w:t>obligated</w:t>
      </w:r>
      <w:r>
        <w:rPr>
          <w:rFonts w:ascii="Times New Roman" w:hAnsi="Times New Roman" w:cs="Times New Roman"/>
          <w:sz w:val="20"/>
          <w:szCs w:val="20"/>
        </w:rPr>
        <w:t xml:space="preserve"> during the funding period, but the cash does not necessarily have to be disbursed.  A recipient or subrecipient may obligate funds (i.e., incur costs) on the earlier of placing an order, signing a contract, receiving goods or services, or carrying out similar transactions during a given period that will require payment during the same or a future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When you buy real property, you obligate funds on the earliest to occur of: (1) receiving title to real property, or (2) becoming legally obligated to purchase an interest in real property with all contingencies placed on the purchaser’s obligations having been satisfied.  An instrument for a legal obligation to purchase is called an exercised option, a purchase agreement, contract of sale, sales contract, deposit receipt, offer and acceptance, agreement of sale, offer to lease or purchase, or sale agreement.  All of these instruments of contractual obligation will hereafter be referred to as a “purchase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Purchase agreements may provide for periods of “due diligence” in which the buyer may withdraw from the contractual obligation if he or she finds any of the specified objectionable conditions.  However, costs are still incurred on the date that the purchase agreement is signed by all parties.  Where the buyer and seller informally agree to the sale of the real property without benefit of a purchase agreement, the funds are obligated at the time the buyer receives title to the real property.  Depending on the political jurisdiction, the buyer receives title to the real property either: (a) when a deed or assignment of lease signed by the seller or lessor is delivered to the buyer or lessee who is then required to sign it if he or she is assuming an existing mortgage or agreeing to abide by restrictive conditions; or (b) when the deed is recorded in the county recorder’s office.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funding period is discussed in 43 CFR 12.63 and 43 CFR 12.928.  The authority for Federal accounts to be maintained on an accrual basis ( which requires the recording of obligations) is provided at 31 U.S.C. Sec. 3512(e).  “Obligations” is defined at 43 CFR 12.43 and 43 CFR 12.902.  The documentary evidence requirement for Government obligations is provided at 31 U.S.C. Sec. 1501(a).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F-3.   Do I have to complete all the work on the project during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As long as all of the project funds are obligated during the funding period, all of the work does not have to be completed during the funding period.  The work has to be completed in time for the recipient to liquidate all obligations and ensure that the grant officer receives a final report no later than 90 days after the end of the funding period.  For example, if a tree-planting contract was included in the proposal, the recipient or subrecipient may enter into this contract any time before the end of the funding period even though the contract will not be completed until after the end of the funding period.  In effect, the final date for work completion is 90 days after the end of the funding period.  However, from a practical perspective, completing work late in the 90 days after the funding period would make it difficult, if not impossible, to liquidate all financial obligations incurred under the grant, complete a final performance report, and deliver the final performance report to the grant administrator by 4 p.m. on the ninetieth day or the first Federal workday thereafter if the ninetieth day falls on a weekend or Federal holiday.  In addition, if a recipient enters into a contract with a required completion date after the funding period or places an order with a scheduled delivery date after the funding period, the recipient will lose the obligated funds if the contractor defaults after the end of the funding period or the supplier notifies the recipient that the order cannot be completed.  Under no circumstances may grant or matching funds be used to pay for costs incurred outside the funding period or for costs higher than those obligated during the funding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The funding period is discussed in 43 CFR 12.63 and 43 CFR 12.928.  43 CFR 12.63 (b) explicitly states that obligations incurred under an award must be liquidated not later than 90 days after the end of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F-4.  </w:t>
      </w:r>
      <w:r>
        <w:rPr>
          <w:rFonts w:ascii="Times New Roman" w:hAnsi="Times New Roman" w:cs="Times New Roman"/>
          <w:sz w:val="20"/>
          <w:szCs w:val="20"/>
        </w:rPr>
        <w:t xml:space="preserve"> </w:t>
      </w:r>
      <w:r>
        <w:rPr>
          <w:rFonts w:ascii="Times New Roman" w:hAnsi="Times New Roman" w:cs="Times New Roman"/>
          <w:b/>
          <w:bCs/>
          <w:sz w:val="20"/>
          <w:szCs w:val="20"/>
        </w:rPr>
        <w:t>May I incur pre-agreement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USFWS authorizes pre-agreement costs only if such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(a) do not exceed the amount of the Federal funds as awarded in the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 xml:space="preserve">(b) are necessary to accomplish the objectives of the project by the end of the funding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 xml:space="preserve">©) fund activities listed in the proposal for accomplishment with Federal grant funds;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(d) have not been incurred before the date that USFWS receives the proposal by the recipient or subrecipient;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(e) are allowable to the extent that they would have been allowable if they had been incurred after USFWS signs the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lastRenderedPageBreak/>
        <w:t>(f) are incurred at the applicant’s risk;</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(g) comply with:</w:t>
      </w:r>
    </w:p>
    <w:p w:rsidR="001F0636" w:rsidRDefault="001F0636">
      <w:pPr>
        <w:pStyle w:val="Level1"/>
        <w:numPr>
          <w:ilvl w:val="0"/>
          <w:numId w:val="9"/>
        </w:numPr>
        <w:tabs>
          <w:tab w:val="left" w:pos="-480"/>
          <w:tab w:val="left" w:pos="0"/>
          <w:tab w:val="left" w:pos="90"/>
          <w:tab w:val="left" w:pos="180"/>
          <w:tab w:val="left" w:pos="270"/>
          <w:tab w:val="left" w:pos="360"/>
          <w:tab w:val="left" w:pos="540"/>
          <w:tab w:val="num" w:pos="720"/>
          <w:tab w:val="left" w:pos="900"/>
          <w:tab w:val="left" w:pos="1080"/>
        </w:tabs>
        <w:rPr>
          <w:rFonts w:ascii="Times New Roman" w:hAnsi="Times New Roman" w:cs="Times New Roman"/>
        </w:rPr>
      </w:pPr>
      <w:r>
        <w:rPr>
          <w:sz w:val="20"/>
          <w:szCs w:val="20"/>
        </w:rPr>
        <w:t>the National Historic Preservation Act for any activity that may result in soil disturbance at the time of the activity or subsequent to it;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(2) land acquisition requirements in applicable regulations and policies;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180"/>
        <w:rPr>
          <w:rFonts w:ascii="Times New Roman" w:hAnsi="Times New Roman" w:cs="Times New Roman"/>
          <w:sz w:val="20"/>
          <w:szCs w:val="20"/>
        </w:rPr>
      </w:pPr>
      <w:r>
        <w:rPr>
          <w:rFonts w:ascii="Times New Roman" w:hAnsi="Times New Roman" w:cs="Times New Roman"/>
          <w:sz w:val="20"/>
          <w:szCs w:val="20"/>
        </w:rPr>
        <w:t xml:space="preserve">(3) the requirement of NAWCA that the Secretary of the Interior find that any interest in real property acquired with Federal funds should not be included in the National Wildlife Refuge System (not applicable to NMBCA projects);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(4) the requirement that a contaminants survey be conducted for any real property to be transferred to USFWS;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180"/>
        <w:rPr>
          <w:rFonts w:ascii="Times New Roman" w:hAnsi="Times New Roman" w:cs="Times New Roman"/>
          <w:sz w:val="20"/>
          <w:szCs w:val="20"/>
        </w:rPr>
      </w:pPr>
      <w:r>
        <w:rPr>
          <w:rFonts w:ascii="Times New Roman" w:hAnsi="Times New Roman" w:cs="Times New Roman"/>
          <w:sz w:val="20"/>
          <w:szCs w:val="20"/>
        </w:rPr>
        <w:t>(5) other Federal laws, executive orders, regulations, and policies applicable to these programs including the National Environmental Policy Act, the Endangered Species Act;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(6) State and local laws, regulations, ordinances, and policies.</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NAWCA Grants Program is not obliged to reimburse pre-agreement costs if any governmental action beyond its control precludes such reimbursement.  This section constitutes prior written approval for any pre-agreement cost that qualifies under its provisions.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Educational Institutions, OMB Circular A-21, Section J-36, states: “Costs incurred prior to the effective date of the sponsored agreement, whether or not they would have been allowable thereunder if incurred after such date, are unallowable thereunder if incurred after such date, are unallowable unless approved by the sponsoring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Attachment B, Section 31, and Cost Principles for Nonprofit Organizations, OMB Circular A-122, Attachment A, Section 36, state:  “Pre-award costs are those incurred prior to the effective date of the award directly pursuant to the negotiation and in anticipation of the award where such costs are necessary to comply with the proposed delivery schedule or period of performance.  Such costs are allowable only to the extent that they would have been allowable if incurred after the date of the award and only with the written approval of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Solicitor’s Opinion signed by Alton Woods and dated June 3,1999: “... GAO’s policy, extrapolated from its opinions on this issue, question the prudence of disallowing [</w:t>
      </w:r>
      <w:r>
        <w:rPr>
          <w:rFonts w:ascii="Times New Roman" w:hAnsi="Times New Roman" w:cs="Times New Roman"/>
          <w:i/>
          <w:iCs/>
          <w:sz w:val="16"/>
          <w:szCs w:val="16"/>
        </w:rPr>
        <w:t>sic</w:t>
      </w:r>
      <w:r>
        <w:rPr>
          <w:rFonts w:ascii="Times New Roman" w:hAnsi="Times New Roman" w:cs="Times New Roman"/>
          <w:sz w:val="16"/>
          <w:szCs w:val="16"/>
        </w:rPr>
        <w:t xml:space="preserve">, it is clear from the context that “allowing” was meant instead of “disallowing”] pre-agreement costs [incurred] up to two years prior to the submission of a project proposal. ... Therefore, the discretion of the awarding agency is the controlling factor with regard to whether or not pre-award costs will be awarded to the grantee; however, that discretion is not absolute. ... FWS’s position of allowing pre-agreement costs upwards of two to three years prior to the submission of a project proposal results in protracted, uncertain, and indefinite obligations by the Government.  B-197699, </w:t>
      </w:r>
      <w:r>
        <w:rPr>
          <w:rFonts w:ascii="Times New Roman" w:hAnsi="Times New Roman" w:cs="Times New Roman"/>
          <w:i/>
          <w:iCs/>
          <w:sz w:val="16"/>
          <w:szCs w:val="16"/>
        </w:rPr>
        <w:t>supra</w:t>
      </w:r>
      <w:r>
        <w:rPr>
          <w:rFonts w:ascii="Times New Roman" w:hAnsi="Times New Roman" w:cs="Times New Roman"/>
          <w:sz w:val="16"/>
          <w:szCs w:val="16"/>
        </w:rPr>
        <w:t>.  Consequently, GAO has stated that this is an untenable position.”  The Opinion cited two cases where GAO allowed the Department of the Interior to pay pre-award costs four months and eight months before the funding period.  The Opinion concluded with the following: “We understand that NAWCA often has land-acquisition opportunities that require immediate action, but pressing circumstances do not justify abandoning prudent and sound judgment, nor GAO policy considerations. We will defer to your office’s judgment in this regard.”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Letter from Juanita Williams, Chief of  the Division of the USFWS Division of Contracting and General Services dated August 22, 2000, to Chief of the North American Waterfowl and Wetlands Office.  “We believe that pre-award requests made to the Service by grant applicants under the NAWCA program prior to approval of the application by the MBCC are best left to the judgment of the NAWWO program office since the determination that such approval is in the best interest of the Government would be based on programmatic interests.  If NAWWO decides to approve such pre-award costs, the file must be documented to support the rationale for the approval.  Such approvals should include the appropriate language to protect the interests of the Service, either as guidance in your application instructions or in each specific letter authorizing the pre-award cost similar to the following: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20"/>
          <w:szCs w:val="20"/>
        </w:rPr>
      </w:pPr>
      <w:r>
        <w:rPr>
          <w:rFonts w:ascii="Times New Roman" w:hAnsi="Times New Roman" w:cs="Times New Roman"/>
          <w:sz w:val="16"/>
          <w:szCs w:val="16"/>
        </w:rPr>
        <w:t>All pre-award costs are incurred at the recipient’s risk (i.e., the Federal awarding agency is under no obligation to reimburse such costs if for any reason the recipient does not receive an award or if the award is less than anticipated and inadequate to cover such costs).  Such costs are allowable only to the extent that they would have been allowable if incurred after the date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F-5.   What rules apply to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Recipients, subrecipients, NAWCA grant applicants, and match providers must comply with all laws, regulations, and policies applicable to NAWCA Agreements if they incur costs after USFWS receives the Proposal if such costs: (a) will be paid with matching cash; or (b) are for the acquisition of matching in-kind contributions.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Match providers may acquire real property, supplies, or services or provide the services of its own personnel for a proposed project as </w:t>
      </w:r>
      <w:r>
        <w:rPr>
          <w:rFonts w:ascii="Times New Roman" w:hAnsi="Times New Roman" w:cs="Times New Roman"/>
          <w:sz w:val="20"/>
          <w:szCs w:val="20"/>
        </w:rPr>
        <w:lastRenderedPageBreak/>
        <w:t>far back as two years before the beginning of the year in which USFWS receives the proposal.  All matching cash obligated before the USFWS receives the proposal is considered a matching in-kind contribution.  Matching in-kind contributions acquired or performed before the USFWS receives a proposal are not subject to Section 106, of the National Historic Preservation Act, as implemented in 36 CFR, part 800.  However, as a matter of policy, if the recipient, subrecipient, or match provider has willfully disturbed or allowed the disturbance of a site, the USFWS may disallow the use of that property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 xml:space="preserve">Incurring costs for the acquisition of matching in-kind contributions before the USFWS receives the proposal is also not subject to the relocation assistance and real property acquisition requirements of 49 CFR, part 24, however, this does not exempt such matching real property from: (a) the requirements of 43 CFR, part 12, (including the Federal Cost Principles incorporated by reference) as they relate to the requirements for match, and the allowability, reasonableness, and allocability of costs, (b) the need for an appraisal of  real property which has a market value estimated at $10,000 or more, ©) the need for an appraisal </w:t>
      </w:r>
      <w:r>
        <w:rPr>
          <w:rFonts w:ascii="Times New Roman" w:hAnsi="Times New Roman" w:cs="Times New Roman"/>
          <w:sz w:val="20"/>
          <w:szCs w:val="20"/>
          <w:u w:val="single"/>
        </w:rPr>
        <w:t>or</w:t>
      </w:r>
      <w:r>
        <w:rPr>
          <w:rFonts w:ascii="Times New Roman" w:hAnsi="Times New Roman" w:cs="Times New Roman"/>
          <w:sz w:val="20"/>
          <w:szCs w:val="20"/>
        </w:rPr>
        <w:t xml:space="preserve"> other documentation that the cost is reasonable for real property estimated to be worth less than $10,000, and (d) the requirements relating to a Notice of Property Restriction.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All matching cash must be obligated for the authorized purpose of the project by the end of the funding period.  All matching in-kind contributions must be received by the recipient or subrecipient before the end of the funding period.  </w:t>
      </w:r>
      <w:r>
        <w:rPr>
          <w:rFonts w:ascii="PMingLiU" w:eastAsia="PMingLiU" w:cs="PMingLiU"/>
          <w:sz w:val="20"/>
          <w:szCs w:val="20"/>
        </w:rPr>
        <w:t>At the end of the funding period, the partner</w:t>
      </w:r>
      <w:r>
        <w:rPr>
          <w:rFonts w:ascii="PMingLiU" w:eastAsia="PMingLiU" w:cs="PMingLiU"/>
          <w:sz w:val="20"/>
          <w:szCs w:val="20"/>
        </w:rPr>
        <w:t>’</w:t>
      </w:r>
      <w:r>
        <w:rPr>
          <w:rFonts w:ascii="PMingLiU" w:eastAsia="PMingLiU" w:cs="PMingLiU"/>
          <w:sz w:val="20"/>
          <w:szCs w:val="20"/>
        </w:rPr>
        <w:t xml:space="preserve">s matching commitment must at least equal the amount pledged in the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All costs that are: (a) incurred in expending matching cash by recipients, or subrecipients, or (b) incurred in acquiring a matching in-kind contribution by match providers, or ©) accepted as a matching in-kind contribution by recipients or subrecipients (even if the recipient or subrecipient providing and accepting the match is the same), must comply with all applicable cost principles.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36 CFR 800.3 requires an awarding agency to determine whether the proposed action is an “undertaking” and, if so, whether it is a type of activity that has the potential to cause affects on historic properties.  An “undertaking” is defined at 36 CFR 800.16(y) as “a project, activity, or program funded in whole or in part under the direct or indirect jurisdiction of a Federal agency, including those carried out by or on behalf of a Federal agency; those carried out with Federal financial assistance; those requiring a Federal permit, license, or approval; and those subject to State or local regulation administered pursuant to a delegation or approval by a Federal agency.”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Department of the Interior’s Solicitor’s Office advised the NAWCA Grants Program informally that laws and regulations applicable to a grant do not apply to matching in-kind contributions acquired or accomplished before the funding period unless the law or regulation is worded in such a way as to make it applicable.  The NAWCA Grant Program, however, may extend the applicability of laws and regulations to cover the pre-agreement period based on an intent to use an accomplishment for match.  (For example, the Department of Transportation has done something similar in Transmittal 26, No. 5, June 22, 1999, which addresses the applicability of 49 CFR, part 24, to a nonprofit's acquisition of land for resale to a Federal grant 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12.64(g) states: “In some cases under paragraphs (d), (e), and (f) of this section, it will be necessary to establish the market value of land . . .   In these cases, the Federal agency may require the market value or fair rental value be set by an independent appraiser, and that the value or rate be certified by the grantee.”  This indicates that the awarding agency may require an appraisal for matching in-kind contributions received by a State, Tribe, or local government.  Since there must be some way of determining that the value offered as match is reasonable and an appraisal is required for other categories of recipients, the NAWCA Grant Program is exercising its prerogative to require an appraisal.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12.923(h)(1) states: “The value of donated land and buildings shall not exceed their fair market value at the time of donation to the recipient as established by an independent appraiser (e.g., certified real property appraiser or General Services Administration representative) and certified by a responsible official of the recipient.”  The foregoing provision indicates that for an institution of higher education, a hospital, or nonprofit organization, a matching in-kind contribution, an appraisal must be obtained “at the time of donation to the recipient”.  Thus, even if the time of donation to the recipient occurred before the funding period, an appraisal would still be required.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F-6.   May I use Bonneville Power Administration funds as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Bonneville Power Administration funds may be used as match only if these funds are used for fishery resource improvement facilities related to the Yakima River Basin Water Enhancement Project in the State of Washington to improve irrigation water use, water supply, and water quality.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Yakima River Basin Water Enhancement Act (Public Law 103-434) of October 31, 1994, addresses this issue as follows: </w:t>
      </w:r>
      <w:r>
        <w:rPr>
          <w:rFonts w:ascii="Times New Roman" w:hAnsi="Times New Roman" w:cs="Times New Roman"/>
          <w:sz w:val="20"/>
          <w:szCs w:val="20"/>
        </w:rPr>
        <w:t>“</w:t>
      </w:r>
      <w:r>
        <w:rPr>
          <w:rFonts w:ascii="Times New Roman" w:hAnsi="Times New Roman" w:cs="Times New Roman"/>
          <w:sz w:val="16"/>
          <w:szCs w:val="16"/>
        </w:rPr>
        <w:t>The Yakima River Basin Water Enhancement Project is a Federal action to improve streamflow and fish passage conditions.  It is part of a comprehensive program to restore the Yakima River basin anadromous fishery resource.  Related fishery resource improvement facilities which utilize funding sources under the Pacific Northwest Electric Power Planning and Conservation Act of 1989 (94 Stat. 2697) and independent water-related improvements of the State of Washington and other public and private entities to improve irrigation water use, water supply, and water quality, shall be treated as non-Federal cost-share expenditures and shall be consolidated in any final calculation of required cost sharing.”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This issue was also addressed by a Solicitor’s Opinion signed by Pete Raynor, Assistant Solicitor and addressed to Assistant Director, Refuges and Wildlife, dated February 12, 1997, and entitled “North American Wetlands Conservation Act  - Use of Bonneville Power Administration [BPA] Funds as Non-Federal Match”.   This Opinion relied on a Comptroller General’s Opinion (67 Comp.Gen. 8, October 8, 1987) [See F-7 below.] to determine that Bonneville Power Administration funds are generally not available to serve as non-Federal match for NAWCA projects despite their ratepayer origin.  However, if a project proposed for funding under NAWCA, is one such as is contemplated under Title XII of the Yakima River Basin Water Enhancement Act (P.L. 103-434), then Bonneville Power Administration funds could be deemed </w:t>
      </w:r>
      <w:r>
        <w:rPr>
          <w:rFonts w:ascii="Times New Roman" w:hAnsi="Times New Roman" w:cs="Times New Roman"/>
          <w:sz w:val="16"/>
          <w:szCs w:val="16"/>
        </w:rPr>
        <w:lastRenderedPageBreak/>
        <w:t>“non-Federal” for purposes of matching Federal dollars in funding certain projects under provisions of the Pacific Northwest Electric Power Planning and Conservation Act (“Northwest Power Act”). [See entry above for Public Law 103-434.]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“Uniform Administrative Requirements for Grants and Cooperative Agreements to State and Local Governments” provides: “When authorized by Federal legislation, Federal funds received from other assistance agreements may be considered as grantee or subgrantee cash contributions” (43 CFR 12.43 </w:t>
      </w:r>
      <w:r>
        <w:rPr>
          <w:rFonts w:ascii="Times New Roman" w:hAnsi="Times New Roman" w:cs="Times New Roman"/>
          <w:i/>
          <w:iCs/>
          <w:sz w:val="16"/>
          <w:szCs w:val="16"/>
        </w:rPr>
        <w:t>Cash Contributions</w:t>
      </w:r>
      <w:r>
        <w:rPr>
          <w:rFonts w:ascii="Times New Roman" w:hAnsi="Times New Roman" w:cs="Times New Roman"/>
          <w:sz w:val="16"/>
          <w:szCs w:val="16"/>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F-7.   Why are Bonneville Power Administration funds not allowed as match if they are generated by rate payers?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The Bonneville Power Administration’s rate payers’ funds are the result of a “continuing appropriation” because Congress authorized the collection or receipt of those funds and it specified or limited the purpose of those funds.  Thus they are considered Federal funds and cannot be used as match except as authorized in the Yakima River Basin Water Enhancement Act (Public Law 103-434) of October 31, 1994.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United States Comptroller General in an Opinion (67 Comp. Gen. 8; October 8, 1987) ruled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ight="360"/>
        <w:rPr>
          <w:rFonts w:ascii="Times New Roman" w:hAnsi="Times New Roman" w:cs="Times New Roman"/>
          <w:sz w:val="16"/>
          <w:szCs w:val="16"/>
        </w:rPr>
      </w:pPr>
      <w:r>
        <w:rPr>
          <w:rFonts w:ascii="Times New Roman" w:hAnsi="Times New Roman" w:cs="Times New Roman"/>
          <w:sz w:val="16"/>
          <w:szCs w:val="16"/>
        </w:rPr>
        <w:t>We find no merit in Bonneville’s argument that it is not using appropriated funds to finance its construction program.  While Bonneville’s funds appear to be generated by rate-payers rather than the result of an annual appropriation by Congress, we do not consider them to be nonappropriated.  Where Congress has authorized the collection or receipt of certain funds by an agency and has specified or limited the purposes of those funds, the authorization is a “continuing appropriation” regardless of the fund’s private origin.  Monarch Water Systems, Inc., 64 Comp. Gen. 756 (1985), 85-2 C.P.D. P146.  Since the Bonneville Act both authorizes the collection and specifies the application of such funds, we find there are enough parameters limiting Bonneville’s collection and use of construction funds so that the act constitutes a continuing appropriation.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Department of the Interior’s Solicitor relied on this Comptroller General’s Opinion to state in an Opinion dated February 12, 1997, that “BPA [Bonneville Power Administration] funds are generally not available to serve as “non-Federal” matching for North American Wetlands projects.”  This Opinion was entitled  “North American Wetlands Conservation Act - Use of Bonneville Power Administration [BPA] Funds as Non-Federal Match,” and was signed by Pete Raynor, Assistant Solicitor and addressed to Assistant Director, Refuges and Wildlife.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F-8.   May I use Tennessee Valley Authority funds as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Recipients may not use Tennessee Valley Authority Funds as match.  Although the Tennessee Valley Authority relies on rate payers’ funds, these rate payers’ funds are the result of a “continuing appropriation” because Congress authorized the collection or receipt of those funds and it specified or limited the purpose of those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20"/>
          <w:szCs w:val="20"/>
        </w:rPr>
        <w:t xml:space="preserve">  </w:t>
      </w: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United States Comptroller General in an Opinion (67 Comp. Gen. 8; October 8, 1987) ruled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ight="360"/>
        <w:rPr>
          <w:rFonts w:ascii="Times New Roman" w:hAnsi="Times New Roman" w:cs="Times New Roman"/>
          <w:b/>
          <w:bCs/>
          <w:sz w:val="20"/>
          <w:szCs w:val="20"/>
        </w:rPr>
      </w:pPr>
      <w:r>
        <w:rPr>
          <w:rFonts w:ascii="Times New Roman" w:hAnsi="Times New Roman" w:cs="Times New Roman"/>
          <w:sz w:val="16"/>
          <w:szCs w:val="16"/>
        </w:rPr>
        <w:t>We find no merit in Bonneville’s argument that it is not using appropriated funds to finance its construction program.  While Bonneville’s funds appear to be generated by rate-payers rather than the result of an annual appropriation by Congress, we do not consider them to be nonappropriated.  Where Congress has authorized the collection or receipt of certain funds by an agency and has specified or limited the purposes of those funds, the authorization is a “continuing appropriation” regardless of the fund’s private origin.  Monarch Water Systems, Inc., 64 Comp. Gen. 756 (1985), 85-2 C.P.D. P146.  Since the Bonneville Act both authorizes the collection and specifies the application of such funds, we find there are enough parameters limiting Bonneville’s collection and use of construction funds so that the act constitutes a continuing appropriation.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 xml:space="preserve">The Department of the Interior’s Solicitor relied on this Comptroller General’s Opinion to state in an Opinion dated February 12, 1997, that “BPA [Bonneville Power Administration] funds are generally not available to serve as “non-Federal” matching for North American Wetlands projects.”  This Opinion was entitled  “North American Wetlands Conservation Act - Use of Bonneville Power Administration [BPA] Funds as Non-Federal Match,” and was signed by Pete Raynor, Assistant Solicitor and addressed to Assistant Director, Refuges and Wildlife.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The staff of the NAWCA Grants Program discussed the eligibility of the Tennessee Valley Authority’s rate payers’ funds for match with the TVA’s General Counsel’s Office in July 2003.  The General Counsel’s Office indicated that there was no special authorization for TVA’s ratepayers’ funds to be used as match.  It also did not contest the applicability of  67 Comp. Gen. 8, October 8, 1987, to TVA’s rate payers’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F-9.   May I use grants provided under the Coastal Resource Improvement Program as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Only an eligible coastal State may use grants provided under the Coastal Resource Improvement Program for match if the proposed project is consistent with the purposes of 16 USC § 1455a (d)(2).  The purposes of that section that are potentially applicable to a NAWCA proposal include: “preservation or restoration of specific areas of the state that (A) are designated under the management program procedures required by section 306(d)(9) [16USC § 1455(d)(9)] because of their conservation recreational, ecological, or esthetic values, or (B) contain one or more coastal resources of national significance, or for the purpose of restoring and enhancing shellfish production by the purchase and distribution of clutch material on publicly owned reef tracts.”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The Coastal Resource Improvement Program is defined under 16 USC § 1455a.  It was authorized by the Coastal Zone Management Act of 1972 as amended through P.L. 104-150.  16 USC § 1455a (d)(2) states: “Grants provided under this section may be used to pay a coastal state’s share of costs required under any other Federal program that is consistent with the purposes of this section.”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F-10.   May I use grants provided under the Indian Self-determination and Educational Assistance Act of 1975 as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Funds available to a Tribal organization under grants provided under the Indian Self Determination Act of 1975 as codified at  25 U.S.C.450 (</w:t>
      </w:r>
      <w:r>
        <w:rPr>
          <w:rFonts w:ascii="Times New Roman" w:hAnsi="Times New Roman" w:cs="Times New Roman"/>
          <w:i/>
          <w:iCs/>
          <w:sz w:val="20"/>
          <w:szCs w:val="20"/>
        </w:rPr>
        <w:t>et seq.</w:t>
      </w:r>
      <w:r>
        <w:rPr>
          <w:rFonts w:ascii="Times New Roman" w:hAnsi="Times New Roman" w:cs="Times New Roman"/>
          <w:sz w:val="20"/>
          <w:szCs w:val="20"/>
        </w:rPr>
        <w:t>) may be used to match other Federal grant programs under the following conditions as stated in the Act: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ight="180"/>
        <w:rPr>
          <w:rFonts w:ascii="Times New Roman" w:hAnsi="Times New Roman" w:cs="Times New Roman"/>
          <w:sz w:val="18"/>
          <w:szCs w:val="18"/>
        </w:rPr>
      </w:pPr>
      <w:r>
        <w:rPr>
          <w:rFonts w:ascii="Times New Roman" w:hAnsi="Times New Roman" w:cs="Times New Roman"/>
          <w:sz w:val="18"/>
          <w:szCs w:val="18"/>
        </w:rPr>
        <w:lastRenderedPageBreak/>
        <w:t xml:space="preserve">The Secretary of the Interior is authorized, upon the request of any Indian tribe (from funds appropriated for the benefit of Indians pursuant to section 13 of this title, and any Act subsequent thereto) to contract with or make a grant or grants to any tribal organization for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18"/>
          <w:szCs w:val="18"/>
        </w:rPr>
      </w:pPr>
      <w:r>
        <w:rPr>
          <w:rFonts w:ascii="Times New Roman" w:hAnsi="Times New Roman" w:cs="Times New Roman"/>
          <w:sz w:val="18"/>
          <w:szCs w:val="18"/>
        </w:rPr>
        <w:t>(1) the strengthening or improvement of tribal government (including but not limited to, the development, improvement, and administration of planning, financial management, or merit personnel systems; the improvement of tribally funded programs or activities; or the development, construction, improvement, maintenance, preservation, or operation of tribal facilities or resources);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18"/>
          <w:szCs w:val="18"/>
        </w:rPr>
      </w:pPr>
      <w:r>
        <w:rPr>
          <w:rFonts w:ascii="Times New Roman" w:hAnsi="Times New Roman" w:cs="Times New Roman"/>
          <w:sz w:val="18"/>
          <w:szCs w:val="18"/>
        </w:rPr>
        <w:t xml:space="preserve">(2) the planning, training, evaluation, of other activities, designed to improve the capacity of a tribal organization to enter into a contract or contracts pursuant to section 450f of this title and the additional costs associated with the initial years of operation under such a contract or contracts; 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18"/>
          <w:szCs w:val="18"/>
        </w:rPr>
      </w:pPr>
      <w:r>
        <w:rPr>
          <w:rFonts w:ascii="Times New Roman" w:hAnsi="Times New Roman" w:cs="Times New Roman"/>
          <w:sz w:val="18"/>
          <w:szCs w:val="18"/>
        </w:rPr>
        <w:t xml:space="preserve">(3) the acquisition of land in connection with items (1) and (2) above: Provided, That in the case of land within Indian country (as defined in chapter </w:t>
      </w:r>
      <w:r>
        <w:rPr>
          <w:rFonts w:ascii="Times New Roman" w:hAnsi="Times New Roman" w:cs="Times New Roman"/>
          <w:sz w:val="18"/>
          <w:szCs w:val="18"/>
          <w:u w:val="single"/>
        </w:rPr>
        <w:t>53</w:t>
      </w:r>
      <w:r>
        <w:rPr>
          <w:rFonts w:ascii="Times New Roman" w:hAnsi="Times New Roman" w:cs="Times New Roman"/>
          <w:sz w:val="18"/>
          <w:szCs w:val="18"/>
        </w:rPr>
        <w:t xml:space="preserve"> of title </w:t>
      </w:r>
      <w:r>
        <w:rPr>
          <w:rFonts w:ascii="Times New Roman" w:hAnsi="Times New Roman" w:cs="Times New Roman"/>
          <w:sz w:val="18"/>
          <w:szCs w:val="18"/>
          <w:u w:val="single"/>
        </w:rPr>
        <w:t>18</w:t>
      </w:r>
      <w:r>
        <w:rPr>
          <w:rFonts w:ascii="Times New Roman" w:hAnsi="Times New Roman" w:cs="Times New Roman"/>
          <w:sz w:val="18"/>
          <w:szCs w:val="18"/>
        </w:rPr>
        <w:t xml:space="preserve">) or which adjoins on at least two sides lands held in trust by the United States for the tribe or for individual Indians, the Secretary of the Interior may (upon request of the tribe) acquire such land in trust for the tribe.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ight="180"/>
        <w:rPr>
          <w:rFonts w:ascii="Times New Roman" w:hAnsi="Times New Roman" w:cs="Times New Roman"/>
          <w:sz w:val="18"/>
          <w:szCs w:val="18"/>
        </w:rPr>
      </w:pPr>
      <w:r>
        <w:rPr>
          <w:rFonts w:ascii="Times New Roman" w:hAnsi="Times New Roman" w:cs="Times New Roman"/>
          <w:sz w:val="18"/>
          <w:szCs w:val="18"/>
        </w:rPr>
        <w:t xml:space="preserve">The Secretary of Health and Human Services may, in accordance with regulations adopted pursuant to section 450k of this title, make grants to any tribal organization for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18"/>
          <w:szCs w:val="18"/>
        </w:rPr>
      </w:pPr>
      <w:r>
        <w:rPr>
          <w:rFonts w:ascii="Times New Roman" w:hAnsi="Times New Roman" w:cs="Times New Roman"/>
          <w:sz w:val="18"/>
          <w:szCs w:val="18"/>
        </w:rPr>
        <w:t xml:space="preserve">(1) the development, construction, operation, provision, or maintenance of adequate health facilities or services including the training of personnel for such work, from funds appropriated to the Indian Health Service for Indian health services or Indian health facilities; 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20"/>
          <w:szCs w:val="20"/>
        </w:rPr>
      </w:pPr>
      <w:r>
        <w:rPr>
          <w:rFonts w:ascii="Times New Roman" w:hAnsi="Times New Roman" w:cs="Times New Roman"/>
          <w:sz w:val="18"/>
          <w:szCs w:val="18"/>
        </w:rPr>
        <w:t>(2) planning training, evaluation, or other activities designed to improve the capacity of a tribal organization to enter into a contract or contracts</w:t>
      </w:r>
      <w:r>
        <w:rPr>
          <w:rFonts w:ascii="Times New Roman" w:hAnsi="Times New Roman" w:cs="Times New Roman"/>
          <w:sz w:val="20"/>
          <w:szCs w:val="20"/>
        </w:rPr>
        <w:t xml:space="preserve"> pursuant to section 450g of this title.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Indian Self-determination and Educational Assistance Act of 1975 (P.L. 93-638) as codified at 25 U.S.C.  450h.©) provides: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ight="180"/>
        <w:rPr>
          <w:rFonts w:ascii="Times New Roman" w:hAnsi="Times New Roman" w:cs="Times New Roman"/>
          <w:sz w:val="20"/>
          <w:szCs w:val="20"/>
        </w:rPr>
      </w:pPr>
      <w:r>
        <w:rPr>
          <w:rFonts w:ascii="Times New Roman" w:hAnsi="Times New Roman" w:cs="Times New Roman"/>
          <w:sz w:val="16"/>
          <w:szCs w:val="16"/>
        </w:rPr>
        <w:t>The provisions of any other Act notwithstanding, any funds made available to a tribal organization under grants pursuant to this section may be used as matching shares for any other Federal grant program which contribute to the purposes for which grants under this section are made.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F-11.  May recipients contribute matching cash or in-kind contributions to 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All recipients and subrecipients may contribute matching cash or in-kind contributions.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See Cost Principles for Educational Institutions, OMB Circular A-21, J.15., Cost Principles for State, Local, and Indian Tribal Government, OMB Circular A-87, Attachment B, Section 12, and Cost Principles for Non-Profit Organizations, OMB Circular A-122, Attachment B, Section 12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12.923©) implies that institutions of higher education as well as hospitals and nonprofit organizations may contribute match.  It states: “Values for recipient contributions of services and property shall be established in accordance with the applicable cost principles.”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F-12.   May I keep program income?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recipient must deduct from the amount of the award that percentage of the net program income that is generated during the funding period and attributable to the Federal participation in the project, provided that the amount deducted is at least $1,000.  All other net program income, including the net program income less than $1,000 may be added to the funds committed to the project.  The recipient must obligate by the end of the funding period all net program income generated during the funding period, and it must be used for the purposes of the project and under the terms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rPr>
      </w:pPr>
      <w:r>
        <w:rPr>
          <w:rFonts w:ascii="Times New Roman" w:hAnsi="Times New Roman" w:cs="Times New Roman"/>
          <w:sz w:val="20"/>
          <w:szCs w:val="20"/>
        </w:rPr>
        <w:t xml:space="preserve">The recipient may retain the first $20,000 of net program income generated during the remainder  of the calendar year after the funding period ends and the first $20,000 generated during each calendar year thereafter.  For net program income in excess of $20,000 generated during a calendar year, the recipient must transfer to USFWS that percentage of the net program income in excess of $20,000 </w:t>
      </w:r>
      <w:r>
        <w:rPr>
          <w:rFonts w:ascii="Times New Roman" w:hAnsi="Times New Roman" w:cs="Times New Roman"/>
          <w:sz w:val="20"/>
          <w:szCs w:val="20"/>
        </w:rPr>
        <w:lastRenderedPageBreak/>
        <w:t xml:space="preserve">that is attributable to the Federal participation in the project, provided that the amount of the transfer is at least $1,000.  The recipient must ensure that this transfer of funds is received by USFWS no later than 90 days after the end of each calendar year.  The recipient may use at its discretion the first $20,000 of net program income generated during each calendar year after the end of the funding period and the first $1,000 of its percentage of the net program income in excess of the $20,000 that is attributable to the Federal participation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Program income is defined and addressed in 43 CFR 12.65 for States, Tribes, and local governments.  It is defined at 43 CFR 12.902 </w:t>
      </w:r>
      <w:r>
        <w:rPr>
          <w:rFonts w:ascii="Times New Roman" w:hAnsi="Times New Roman" w:cs="Times New Roman"/>
          <w:i/>
          <w:iCs/>
          <w:sz w:val="16"/>
          <w:szCs w:val="16"/>
        </w:rPr>
        <w:t>Program income</w:t>
      </w:r>
      <w:r>
        <w:rPr>
          <w:rFonts w:ascii="Times New Roman" w:hAnsi="Times New Roman" w:cs="Times New Roman"/>
          <w:sz w:val="16"/>
          <w:szCs w:val="16"/>
        </w:rPr>
        <w:t xml:space="preserve"> and addressed at 43  CFR 12.924 for institutions of higher education, hospitals, and other nonprofit organizations.  Grants and Cooperative Agreements with State and Local Government (OMB Circular A-102)  states in the Attachment, section (2)(e)(1): “Agencies shall encourage grantees to generate program income to help defray program costs.”  Both 43 CFR 12.65 and 43 CFR 12.924 provide that the awarding agency may require that program income be used in accordance with “one </w:t>
      </w:r>
      <w:r>
        <w:rPr>
          <w:rFonts w:ascii="Times New Roman" w:hAnsi="Times New Roman" w:cs="Times New Roman"/>
          <w:sz w:val="16"/>
          <w:szCs w:val="16"/>
          <w:u w:val="single"/>
        </w:rPr>
        <w:t>or more</w:t>
      </w:r>
      <w:r>
        <w:rPr>
          <w:rFonts w:ascii="Times New Roman" w:hAnsi="Times New Roman" w:cs="Times New Roman"/>
          <w:sz w:val="16"/>
          <w:szCs w:val="16"/>
        </w:rPr>
        <w:t xml:space="preserve">” of three alternatives for the use of program income earned during the funding period.  If the awarding agency does not specify how program income is to be used, it must be used for the allowable costs of the project and the Federal award must be reduced by an equal amount.  Another alternative is to add it to funds committed to the project “to further eligible project or program objectives” (43 CFR 12.924) or “for the purposes and under the conditions of the grant agreement” (43 CFR 12.65).  A final alternative is to use it as match.  Both 43 CFR 12.65 and 43 CFR 12.924 indicate that unless the awarding agency directs otherwise in the grant agreement, recipients will have no obligation to the Federal Government regarding program income earned after the end of the funding period.  Both 43 CFR 12.65 and 43 CFR 12.924 indicate that proceeds from the sale of property are not considered program income and must be handled under the regulations governing the disposal of real property, equipment, and supplies.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12.65 and 43 CFR 12.924(g) authorize the awarding agency to deduct costs incident to the generation of program income form gross income to determine [net] program income, provided these costs have not been charged to the award.  Based on this authorization, the Policy authorizes the deduction of costs incident to the generation of program income from gross income to determine the net program income.  For access fees derived from wildlife/wildland-oriented recreation, costs incident to the generation of program income include “those </w:t>
      </w:r>
      <w:r>
        <w:rPr>
          <w:rFonts w:ascii="Times New Roman" w:hAnsi="Times New Roman" w:cs="Times New Roman"/>
          <w:sz w:val="16"/>
          <w:szCs w:val="16"/>
          <w:u w:val="single"/>
        </w:rPr>
        <w:t>necessary</w:t>
      </w:r>
      <w:r>
        <w:rPr>
          <w:rFonts w:ascii="Times New Roman" w:hAnsi="Times New Roman" w:cs="Times New Roman"/>
          <w:sz w:val="16"/>
          <w:szCs w:val="16"/>
        </w:rPr>
        <w:t xml:space="preserve"> to manage the property for the benefit of wildlife.”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Within the limits set by Federal regulations, the starting point for this policy was the basic guidance of House Report 101-269 that “If fees are charged for access to lands purchased in whole or in part with Federal funds, fees in excess of those necessary to manage the property for the benefit of wildlife should be returned to the Federal government or used for wetland conservation projects.”  Since access fees earned during a typical funding period would be insignificant for the great majority of projects, the presumption is that the report language applies to fees during </w:t>
      </w:r>
      <w:r>
        <w:rPr>
          <w:rFonts w:ascii="Times New Roman" w:hAnsi="Times New Roman" w:cs="Times New Roman"/>
          <w:sz w:val="16"/>
          <w:szCs w:val="16"/>
          <w:u w:val="single"/>
        </w:rPr>
        <w:t>and</w:t>
      </w:r>
      <w:r>
        <w:rPr>
          <w:rFonts w:ascii="Times New Roman" w:hAnsi="Times New Roman" w:cs="Times New Roman"/>
          <w:sz w:val="16"/>
          <w:szCs w:val="16"/>
        </w:rPr>
        <w:t xml:space="preserve"> after the project period.  The policy also assumes that if Congress intended for access fees to be returned to the Federal government, it also intended for other more substantial income derived from the property to be returned to the Federal government.  The Report language directing the return of fees in excess of those necessary to manage the property for the benefit of wildlife to the Federal government is supported, in part, by OMB Circular A-102, which  explicitly states that any alternative except deduction from total program costs of program income that is earned during the funding period must be granted sparingly.  Although 43 CFR, part 12, gives the awarding agency three alternatives for program income earned during the funding period, it indicates that the deduction alternative is the default alternative.  However, it also specifies that recipients will have no further obligations to the Federal government for program income earned after the funding period unless the awarding agency indicates otherwise in the grant agreement.  </w:t>
      </w:r>
      <w:r>
        <w:rPr>
          <w:rFonts w:ascii="PMingLiU" w:eastAsia="PMingLiU" w:cs="PMingLiU"/>
          <w:sz w:val="16"/>
          <w:szCs w:val="16"/>
        </w:rPr>
        <w:t>Finally, the Principles of Federal Appropriations Law (GAO/OGC-92-13, page 10-57) states that both OMB and the General Accounting Office (GAO) have expressed preference for the deduction method.</w:t>
      </w:r>
      <w:r>
        <w:rPr>
          <w:rFonts w:ascii="Times New Roman" w:hAnsi="Times New Roman" w:cs="Times New Roman"/>
          <w:sz w:val="16"/>
          <w:szCs w:val="16"/>
        </w:rPr>
        <w:t xml:space="preserve">  Thus the overall message of the regulations and guidance is to return net program income to the Federal government if it was earned during the funding period.  The message is mixed for net program income earned after the funding period, but the report language implies that the Federal government should receive at least part of net program income and certainly the Federal government is </w:t>
      </w:r>
      <w:r>
        <w:rPr>
          <w:rFonts w:ascii="Times New Roman" w:hAnsi="Times New Roman" w:cs="Times New Roman"/>
          <w:sz w:val="16"/>
          <w:szCs w:val="16"/>
          <w:u w:val="single"/>
        </w:rPr>
        <w:t>authorized</w:t>
      </w:r>
      <w:r>
        <w:rPr>
          <w:rFonts w:ascii="Times New Roman" w:hAnsi="Times New Roman" w:cs="Times New Roman"/>
          <w:sz w:val="16"/>
          <w:szCs w:val="16"/>
        </w:rPr>
        <w:t xml:space="preserve"> to receive it at its discretion.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This Policy weighs all these considerations, and it takes note of the regulatory language that allows the use of “one </w:t>
      </w:r>
      <w:r>
        <w:rPr>
          <w:rFonts w:ascii="Times New Roman" w:hAnsi="Times New Roman" w:cs="Times New Roman"/>
          <w:sz w:val="16"/>
          <w:szCs w:val="16"/>
          <w:u w:val="single"/>
        </w:rPr>
        <w:t>or more</w:t>
      </w:r>
      <w:r>
        <w:rPr>
          <w:rFonts w:ascii="Times New Roman" w:hAnsi="Times New Roman" w:cs="Times New Roman"/>
          <w:sz w:val="16"/>
          <w:szCs w:val="16"/>
        </w:rPr>
        <w:t xml:space="preserve">” of three alternatives provided for the use of program income earned during the funding period.  Thus, the policy provides that all program income (earned during and after the funding period) must be divided between the recipient and the Federal government based on the proportional share of project costs paid by each party.  It also recognizes that the regulatory and practical considerations for program income earned after the funding period are different than for program income earned after the funding period.  Therefore, the Policy provides that the Federal government is not due a share of any program income less than $20,000 if it was earned after the funding period.  Whether the program income was collected during the funding period or after the funding period, the Policy dispenses with the collection of any amount under $1,000 in recognition of the fact that it is not cost effective to collect small amounts.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starting date for generating program income is the beginning of the funding period.  In contrast, pre-agreement costs may be incurred immediately after USFWS receives the project, and matching in-kind contributions may be acquired two years back from the first day of the year in which USFWS receives the proposal.  Revenue generated from pre-agreement costs or pre-agreement match is not counted as program income because a grant does not exist until the award is issued.  Perhaps the NAWCA Grants Program could count such pre-agreement revenue as program income as a policy decision due to the lack of specificity of the applicable regulations, but it declines to do so in recognition of: (a)  the risk that the applicant assumes in incurring costs before the award; (b) the practical difficulties caused by the potentially lengthy period of uncertainty over the ultimate disposition of program income while a grant proposal is awaiting a decision on selection.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definition of program income is clarified by the Solicitor’s Opinion on “Timber Policy”, dated December 5, 2000, signed by Associate Solicitor Karen Sprecher Keating and Acting Associate Solicitor Pete Raynor, and addressed to Deputy Assistant Secretary Bob Lamb, Budget and Finance, as revised by a memorandum on the subject of “Revised Decision - Federal Aid Timber Sales”, dated March 15, 2001, signed by Acting Assistant Secretary Robert Lamb and addressed to USFWS Acting Director Marshall P Jones, Jr.  The revised decision held that “revenue generated by the sale of timber on Federal Aid land, harvested in accord with necessary wildlife management practices, should be treated as the sale of personal property (program income) during the grant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When program income earned during the funding period is deducted from the total project allowable cost in determining the net allowable costs upon which the Federal share of costs is based, the difference between the amount originally obligated for the project and the amount after the deduction of program income will be available for funding other NAWCA proposals.  This is based in part on House Report 101-269 that states: “If fees are charged for access to lands purchased in whole or in part with Federal funds, fees in excess of those necessary to manage the property for the benefit of wildlife should be returned to the Federal government or used for wetland conservation projects.”   The Appropriations Law Manual , page 6-108, states: “An agency may retain moneys it receives if it has statutory authority to do so.”  The legislative report accompanying NAWCA expresses the intent of the framers of the statute.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Under the provisions of this policy, a percentage of program income above a certain threshold must be paid to USFWS.  This will also be available for funding other NAWCA proposals based on the intent of the framers of the statute as referenced above in House Report 101-269.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Making program income available for funding other NAWCA proposals is also justified by the Appropriations Law Manual, page 6-109 which states: “”Refunds to appropriations which represent amounts collected from outside sources for payments made in error, overpayments, or </w:t>
      </w:r>
      <w:r>
        <w:rPr>
          <w:rFonts w:ascii="Times New Roman" w:hAnsi="Times New Roman" w:cs="Times New Roman"/>
          <w:b/>
          <w:bCs/>
          <w:sz w:val="16"/>
          <w:szCs w:val="16"/>
        </w:rPr>
        <w:t>adjustments</w:t>
      </w:r>
      <w:r>
        <w:rPr>
          <w:rFonts w:ascii="Times New Roman" w:hAnsi="Times New Roman" w:cs="Times New Roman"/>
          <w:sz w:val="16"/>
          <w:szCs w:val="16"/>
        </w:rPr>
        <w:t xml:space="preserve"> for </w:t>
      </w:r>
      <w:r>
        <w:rPr>
          <w:rFonts w:ascii="Times New Roman" w:hAnsi="Times New Roman" w:cs="Times New Roman"/>
          <w:b/>
          <w:bCs/>
          <w:sz w:val="16"/>
          <w:szCs w:val="16"/>
        </w:rPr>
        <w:t>previous</w:t>
      </w:r>
      <w:r>
        <w:rPr>
          <w:rFonts w:ascii="Times New Roman" w:hAnsi="Times New Roman" w:cs="Times New Roman"/>
          <w:sz w:val="16"/>
          <w:szCs w:val="16"/>
        </w:rPr>
        <w:t xml:space="preserve"> amounts </w:t>
      </w:r>
      <w:r>
        <w:rPr>
          <w:rFonts w:ascii="Times New Roman" w:hAnsi="Times New Roman" w:cs="Times New Roman"/>
          <w:b/>
          <w:bCs/>
          <w:sz w:val="16"/>
          <w:szCs w:val="16"/>
        </w:rPr>
        <w:t>disbursed</w:t>
      </w:r>
      <w:r>
        <w:rPr>
          <w:rFonts w:ascii="Times New Roman" w:hAnsi="Times New Roman" w:cs="Times New Roman"/>
          <w:sz w:val="16"/>
          <w:szCs w:val="16"/>
        </w:rPr>
        <w:t xml:space="preserve">, including returns of authorized advances.”   Inasmuch as (a) an agency may retain funds that qualify as a refund, and (b) the deduction of program income from total </w:t>
      </w:r>
      <w:r>
        <w:rPr>
          <w:rFonts w:ascii="Times New Roman" w:hAnsi="Times New Roman" w:cs="Times New Roman"/>
          <w:sz w:val="16"/>
          <w:szCs w:val="16"/>
        </w:rPr>
        <w:lastRenderedPageBreak/>
        <w:t xml:space="preserve">program allowable cost is an adjustment for previous amounts disbursed [or at least obligated], the USFWS may retain the amount deducted from the original obligation to the credit of the original appropriation.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F-13.   What standards apply to my financial management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The recipient's and any subrecipient’s financial management systems must adhere to the standards established in 43 CFR 12.60 for State, local, and Tribal governments or 43 CFR 12.921 for institutions of higher education, other nonprofit organizations, commercial organizations, and individuals (</w:t>
      </w:r>
      <w:r>
        <w:rPr>
          <w:rStyle w:val="Hypertext"/>
          <w:rFonts w:ascii="Times New Roman" w:hAnsi="Times New Roman" w:cs="Times New Roman"/>
          <w:color w:val="000000"/>
          <w:sz w:val="20"/>
          <w:szCs w:val="20"/>
        </w:rPr>
        <w:t>http://www.access.gpo.gov/nara/cfr/index.html</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F-14.   What can I acquire under a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documents listed below establish principles for determining which costs are allowable or eligible based on the type of organization.  They apply to the obligation of Federal grant dollars and matching cash by recipients or subrecipients and the acceptance of matching in-kind donations by recipients and subrecipients.  They also apply to matching in-kind contributions consisting of an interest in real property that the owner contributes to the project, but retains title or ownership.  The Cost Principles and 43 CFR, part 12, apply in these cases when the recipient accepts the in-kind contributions of real property to be used for the purposes of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Federal Cost Principles and the NAWCA-specific Cost Principles apply to all costs that are: (a) incurred in expending grant funds or matching cash by recipients or subrecipients, or (b) accepted as a matching in-kind contribution by recipients and subrecipients.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Recipient must comply with the applicable NAWCA-specific Cost Principles which are posted on the website of the NAWCA Grant Program  (</w:t>
      </w:r>
      <w:r>
        <w:rPr>
          <w:rStyle w:val="Hypertext"/>
          <w:rFonts w:ascii="Times New Roman" w:hAnsi="Times New Roman" w:cs="Times New Roman"/>
          <w:color w:val="000000"/>
          <w:sz w:val="20"/>
          <w:szCs w:val="20"/>
        </w:rPr>
        <w:t>http://birdhabitat.fws.gov//NAWCA/Cost%20Principles.pdf</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Individuals and nonprofit organizations chartered under the laws of a State, Commonwealth, or Territory of the United States are subject to Office of Management and Budget (OMB) Circular A</w:t>
      </w:r>
      <w:r>
        <w:rPr>
          <w:rFonts w:ascii="Times New Roman" w:hAnsi="Times New Roman" w:cs="Times New Roman"/>
          <w:sz w:val="20"/>
          <w:szCs w:val="20"/>
        </w:rPr>
        <w:noBreakHyphen/>
        <w:t>122, "Cost Principles for Non</w:t>
      </w:r>
      <w:r>
        <w:rPr>
          <w:rFonts w:ascii="Times New Roman" w:hAnsi="Times New Roman" w:cs="Times New Roman"/>
          <w:sz w:val="20"/>
          <w:szCs w:val="20"/>
        </w:rPr>
        <w:noBreakHyphen/>
        <w:t>Profit Organizations," (</w:t>
      </w:r>
      <w:r>
        <w:rPr>
          <w:rStyle w:val="Hypertext"/>
          <w:rFonts w:ascii="Times New Roman" w:hAnsi="Times New Roman" w:cs="Times New Roman"/>
          <w:color w:val="000000"/>
          <w:sz w:val="20"/>
          <w:szCs w:val="20"/>
        </w:rPr>
        <w:t>http://www.whitehouse.gov/OMB/circulars/index.html</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States, Commonwealths, Territories, local governments, the District of Columbia, and federally recognized Indian Tribal governments of the United States, including their agencies and instrumentalities, are subject to OMB Circular A</w:t>
      </w:r>
      <w:r>
        <w:rPr>
          <w:rFonts w:ascii="Times New Roman" w:hAnsi="Times New Roman" w:cs="Times New Roman"/>
          <w:sz w:val="20"/>
          <w:szCs w:val="20"/>
        </w:rPr>
        <w:noBreakHyphen/>
        <w:t>87, "Cost Principles for State, Local and Indian Tribal Governments,”  (</w:t>
      </w:r>
      <w:r>
        <w:rPr>
          <w:rStyle w:val="Hypertext"/>
          <w:rFonts w:ascii="Times New Roman" w:hAnsi="Times New Roman" w:cs="Times New Roman"/>
          <w:color w:val="000000"/>
          <w:sz w:val="20"/>
          <w:szCs w:val="20"/>
        </w:rPr>
        <w:t>http://www.whitehouse.gov/OMB/circulars/index.html</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Institutions of higher education are subject to OMB Circular A</w:t>
      </w:r>
      <w:r>
        <w:rPr>
          <w:rFonts w:ascii="Times New Roman" w:hAnsi="Times New Roman" w:cs="Times New Roman"/>
          <w:sz w:val="20"/>
          <w:szCs w:val="20"/>
        </w:rPr>
        <w:noBreakHyphen/>
        <w:t>21, "Cost Principles for Educational Institutions," (</w:t>
      </w:r>
      <w:r>
        <w:rPr>
          <w:rStyle w:val="Hypertext"/>
          <w:rFonts w:ascii="Times New Roman" w:hAnsi="Times New Roman" w:cs="Times New Roman"/>
          <w:color w:val="000000"/>
          <w:sz w:val="20"/>
          <w:szCs w:val="20"/>
        </w:rPr>
        <w:t>http://www.whitehouse.gov/OMB/circulars/index.html</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Commercial organizations organized and chartered under laws of a State, Commonwealth, or Territory of the United States, are subject to 48 CFR 31.2, “Contracts with Commercial Organizations,” (</w:t>
      </w:r>
      <w:r>
        <w:rPr>
          <w:rStyle w:val="Hypertext"/>
          <w:rFonts w:ascii="Times New Roman" w:hAnsi="Times New Roman" w:cs="Times New Roman"/>
          <w:color w:val="000000"/>
          <w:sz w:val="20"/>
          <w:szCs w:val="20"/>
        </w:rPr>
        <w:t>http://www.access.gpo.gov/nara/cfr/index.html</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USFWS is also authorized to negotiate and enter into cooperative arrangements and grants with: (a) American citizens and individuals with permanent residency status in the United States of America; (b) organizations and institutions that are organized, chartered, or recognized under State, local, or Federal law other than nonprofit organizations, hospitals, institutions of higher education, commercial organizations, and agencies or instrumentalities of States, Tribes, local governments, institutions of higher education, hospitals, and nonprofit organizations.  The Federal Cost Principles, are not directly applicable to these two categories of recipients.  However, if an entity in either of these two categories  is a recipient or subrecipient, the USFWS will apply OMB Circular A-122, "Cost Principles for Non</w:t>
      </w:r>
      <w:r>
        <w:rPr>
          <w:rFonts w:ascii="Times New Roman" w:hAnsi="Times New Roman" w:cs="Times New Roman"/>
          <w:sz w:val="20"/>
          <w:szCs w:val="20"/>
        </w:rPr>
        <w:noBreakHyphen/>
        <w:t>Profit Organizations," (</w:t>
      </w:r>
      <w:r>
        <w:rPr>
          <w:rStyle w:val="Hypertext"/>
          <w:rFonts w:ascii="Times New Roman" w:hAnsi="Times New Roman" w:cs="Times New Roman"/>
          <w:color w:val="000000"/>
          <w:sz w:val="20"/>
          <w:szCs w:val="20"/>
        </w:rPr>
        <w:t>http://www.whitehouse.gov/OMB/circulars/index.html</w:t>
      </w:r>
      <w:r>
        <w:rPr>
          <w:rFonts w:ascii="Times New Roman" w:hAnsi="Times New Roman" w:cs="Times New Roman"/>
          <w:sz w:val="20"/>
          <w:szCs w:val="20"/>
        </w:rPr>
        <w:t xml:space="preserve">).  The USFWS reserves the right to negotiate terms of a grant or cooperative agreement or cooperative arrangement with applicants in categories (a) and (b) above that depart from OMB Circular A-122, as long as such terms comply with all applicable laws and are appropriate for the project and acceptable to both USFWS and the 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Note that a subrecipient nonprofit organization uses one set of Cost Principles; an individual uses the same set of Cost Principles as a nonprofit organization by NAWCA policy; a subrecipient State, Commonwealth, Territorial, local, or Tribal government uses a different set of Cost Principles; a subrecipient educational institution uses a different set of Cost Principles; and a commercial organization uses yet another set of Cost Principles.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43 CFR 12.64 provides additional rules for match when States, Commonwealths, Territories, local governments, the District of Columbia, and federally recognized Indian Tribal governments of the United States, including their agencies and instrumentalities are recipients or subrecipients.  43 CFR 12.923 similarly provides additional rules for match when nonprofit organizations (and by NAWCA policy, commercial organizations and individuals) are recipients or subrecipients.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49 CFR, part 24, provides additional rules specifying the costs that may be paid when real property is acquired.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annual Appropriations Acts that provide Federal funds for the NAWCA Grants Program has for several years, in effect,  prohibited the expenditure of more than $1 for an option to buy land.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Recipients and subrecipients that are institutions of higher education, other non-profit organizations, commercial organizations, or individuals  must maintain written procedures to determine reasonableness, allocability, and allowability of costs in accordance with the applicable Federal Cost Principles and the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In the first paragraph above, it states: </w:t>
      </w:r>
      <w:r>
        <w:rPr>
          <w:rFonts w:ascii="Times New Roman" w:hAnsi="Times New Roman" w:cs="Times New Roman"/>
          <w:sz w:val="20"/>
          <w:szCs w:val="20"/>
        </w:rPr>
        <w:t>“</w:t>
      </w:r>
      <w:r>
        <w:rPr>
          <w:rFonts w:ascii="Times New Roman" w:hAnsi="Times New Roman" w:cs="Times New Roman"/>
          <w:sz w:val="16"/>
          <w:szCs w:val="16"/>
        </w:rPr>
        <w:t xml:space="preserve">They [principles for determining which costs are allowable or eligible based on the type of organization] also apply to matching in-kind contributions consisting of an interest in real property that the owner contributes to the project, but retains title or ownership.  The Cost Principles and 43 CFR, part 12, apply in these cases when the recipient accepts the in-kind contributions to be used for the purposes of the project.”  It is necessary to apply this rationale of the recipient receiving real property for the project even though another entity retains title because 43 CFR 12.64(a)(7), implies that its provisions apply only to the party receiving the contributions.  The owner of the real property then becomes the equivalent of a subrecipient.  There is not an  exact counterpart of 43 CFR 12.64(a)(7) for nonprofit organizations (and by NAWCA policy, commercial organizations and individuals), but 43 CFR 12.923(a) indicates that third party in-kind contributions shall be accepted as part of the recipient’s cost sharing or matching when such contributions meet the specified conditions.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Department of the Interior and Related Agencies Appropriations Acts of 1996 -2002 and Bills reported in House and Senate for Department of the Interior and Related Agencies Appropriations Act of 2003:</w:t>
      </w:r>
      <w:r>
        <w:rPr>
          <w:rFonts w:ascii="Times New Roman" w:hAnsi="Times New Roman" w:cs="Times New Roman"/>
          <w:b/>
          <w:bCs/>
          <w:sz w:val="16"/>
          <w:szCs w:val="16"/>
        </w:rPr>
        <w:t xml:space="preserve"> “</w:t>
      </w:r>
      <w:r>
        <w:rPr>
          <w:rFonts w:ascii="Times New Roman" w:hAnsi="Times New Roman" w:cs="Times New Roman"/>
          <w:sz w:val="16"/>
          <w:szCs w:val="16"/>
        </w:rPr>
        <w:t xml:space="preserve">Appropriations and funds available to the United States Fish and Wildlife Service shall be available for purchase of . . . options for the purchase of land at not to exceed $1 for each option.; . . .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Department of the Interior and Related Agencies Appropriations Act of 1998, Reprogramming Guidelines (Senate Committee Report 105-56 and House Committee Report 105-163): “Lands shall not be acquired for more than the approved appraised value (as addressed in section 301(3) of Public Law 91-646) except for condemnations and declarations of taking, unless such acquisitions are submitted to the Committees on Appropriations for approval.”  This requirement is listed in this Commentary because it is sometimes quoted as evidence that USFWS grant programs need the permission of the Committees on Appropriations to exceed the appraised value of any real property acquired.  However, the U.S. Department of the Solicitor’s Office informally advised the staff of the NAWCA Grant Program  in October 2003 that any payment of more than the appraised value under a NAWCA grant would not, by itself, constitute a reprogramming.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12.921(b), which is applicable to institutions of higher education, hospitals, other non-profit organizations, and by NAWCA policy to commercial organizations and individuals, states: “Recipients’ financial management systems shall provide for the following: . . .  (6) Written procedures for determining the reasonableness, allocability, and allowability of costs in accordance with the provisions of the applicable Federal cost principles and the terms and conditions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F-15.   What items in the Cost Principles are most frequently overlooked by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items in the Cost Principles that are most frequently overlooked by recipients are:</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recipients and subrecipients must not use Federal grant funds or matching dollars for the cost of acquiring, constructing, removing, or repairing buildings or other structures unnecessary for wetlands conservation purposes (NAWCA-specific cost principles);</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recipients must not incur pre-agreement costs before the date that the USFWS receives the proposal, and more specifically the recipient must not enter into a purchase agreement, exercise an option or sign any other instrument whereby the recipient contractually commits to the purchase of an interest in real property;</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contingency reserves (also called contingency funds) are unallowable unless the reserve: (a) will be established to fund events, the occurrence of which can be foretold with certainty as to time, or intensity, or with an assurance of their happening , or (b) falls in one of the special categories specifically permitted in the Federal Cost Principles for some categories of recipients;</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real property taxes are unallowable costs under a Federal award if paid by a nonprofit organization when exemptions were available to the nonprofit organization;</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routine operations and maintenance salaries and costs are unallowable (NAWCA-specific cost principles).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prohibition on the use of Federal grant or matching dollars for the cost of acquiring, constructing, removing, or repairing buildings or other structures unnecessary for wetlands conservation purposes is in the NAWCA-specific Cost Principles.  It is derived from a policy decision of the North American Wetlands Conservation Council, but it is consistent with the Federal Cost Principles in that the costs of capital assets must be approved by the awarding agency.  Cost Principles for Educational Institutions, OMB Circular A-21, J.18.b.; Cost Principles for State, Local, and Indian Tribal Governments, OMB Circular A-87, Attachment B, section 15.b.; Cost Principles for Nonprofit Organizations, OMB Circular A-122, section 15.b.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authorities applicable to pre-agreement costs are listed above in the commentary for the question and answer on pre-agreement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Attachment B, Section 9),  "</w:t>
      </w:r>
      <w:r>
        <w:rPr>
          <w:rFonts w:ascii="Times New Roman" w:hAnsi="Times New Roman" w:cs="Times New Roman"/>
          <w:sz w:val="16"/>
          <w:szCs w:val="16"/>
          <w:u w:val="single"/>
        </w:rPr>
        <w:t>Contingency provisions</w:t>
      </w:r>
      <w:r>
        <w:rPr>
          <w:rFonts w:ascii="Times New Roman" w:hAnsi="Times New Roman" w:cs="Times New Roman"/>
          <w:sz w:val="16"/>
          <w:szCs w:val="16"/>
        </w:rPr>
        <w:t xml:space="preserve">.  Contributions to a contingency reserve or any similar provision made for events the occurrences of which cannot be foretold with certainty as to time, or intensity, or with an assurance of their happening, are unallowable.  The term "contingency reserve" excludes self-insurance reserves (see Attachment B, section 22.c.), pension plan reserves (see Attachment B, section 8.e.), and post retirement health and other benefit reserves (see Attachment B, section 8.f.) computed using acceptable actuarial cost methods.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Non-Profit Organizations (OMB Circular A-122, Attachment B, Section 9, "Contingency provisions.  Contributions to a contingency reserve or any similar provision made for events the occurrence of which cannot be foretold with certainty as to time, intensity, or with an assurance of their happening, are unallowable.  The term "contingency reserve" excludes self-insurance reserves (see Attachment B, paragraphs 8.g. (3) and 22.a (2)(d);  pension funds (see paragraph 8.I); and reserves for normal severance pay (see paragraph 8.k.).</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720" w:right="540" w:bottom="720" w:left="720" w:header="720" w:footer="720" w:gutter="0"/>
          <w:cols w:space="720"/>
          <w:noEndnote/>
        </w:sect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Cost Principles for Educational Institutions (OMB Circular A-21, Section J.11, "</w:t>
      </w:r>
      <w:r>
        <w:rPr>
          <w:rFonts w:ascii="Times New Roman" w:hAnsi="Times New Roman" w:cs="Times New Roman"/>
          <w:sz w:val="16"/>
          <w:szCs w:val="16"/>
          <w:u w:val="single"/>
        </w:rPr>
        <w:t>Contingency provisions</w:t>
      </w:r>
      <w:r>
        <w:rPr>
          <w:rFonts w:ascii="Times New Roman" w:hAnsi="Times New Roman" w:cs="Times New Roman"/>
          <w:sz w:val="16"/>
          <w:szCs w:val="16"/>
        </w:rPr>
        <w:t>.  Contributions to a contingency reserve or any similar provision made for events the occurrence of which cannot be foretold with certainty as to time, intensity, or with an assurance of their happening, are unallowable except as noted in the cost principles in this circular regarding self-insurance, pensions, severance and post retirement health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45  CFR, part 74, Appendix E, Section ix.  Principles for Determining Costs Applicable to Research and Development Under Grants and Contracts With Hospitals, Paragraph A.8., states "Contributions to a contingency reserve or any similar provisions made for events the occurrence of which cannot be foretold with certainty as to time, intensity, or with an assurance of their happening, are unallowable”.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Contracts with Commercial Organizations, Contingencies (48 CFR 31.205-7).  (a) Contingency, as used in this subpart, means a possible future event or condition arising from presently known or unknown causes, the outcome of which is indeterminable at the present time. (b) Costs for contingencies are generally unallowable for historical costing purposes because such costing deals with costs incurred and recorded on the contractor's books. However, in some cases, as for example, terminations, a contingency factor may be recognized when it is applicable to a past period to give recognition to minor unsettled factors in the interest of expediting settlement. ©) In connection with estimates of future costs, contingencies fall into two categories:  (1) Those that may arise from presently known and existing conditions, the effects of which are foreseeable within reasonable limits of accuracy; e.g., anticipated costs of rejects and defective work. Contingencies of this category are to be included in the estimates of future costs so as to provide the best estimate of performance cost.  (2) Those that may arise from presently known or unknown conditions, the effect of which cannot be measured so precisely as to provide equitable results to the contractor and to the Government; e.g., results of pending litigation. Contingencies of this category are to be excluded from cost estimates under the several items of cost, but should be disclosed separately (including the basis upon which the contingency is computed) to facilitate the negotiation of appropriate contractual coverage. (See, for example, 31.205-6(g), 31.205-19, and 31.205-24.)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Cost Principles for Nonprofit Organizations, OMB Circular A-122, Attachment B, section 47, indicates that taxes paid by nonprofit organizations when exemptions are available are unallowable.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NAWCA-specific Cost Principles state that routine operations and maintenance salaries and costs are unallowable.  This policy is</w:t>
      </w:r>
      <w:r>
        <w:rPr>
          <w:rFonts w:ascii="Times New Roman" w:hAnsi="Times New Roman" w:cs="Times New Roman"/>
          <w:sz w:val="20"/>
          <w:szCs w:val="20"/>
        </w:rPr>
        <w:t xml:space="preserve"> </w:t>
      </w:r>
      <w:r>
        <w:rPr>
          <w:rFonts w:ascii="Times New Roman" w:hAnsi="Times New Roman" w:cs="Times New Roman"/>
          <w:sz w:val="16"/>
          <w:szCs w:val="16"/>
        </w:rPr>
        <w:t>derived from a decision of the North American Wetlands Conservation Council.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rPr>
      </w:pPr>
      <w:r>
        <w:rPr>
          <w:rFonts w:ascii="Times New Roman" w:hAnsi="Times New Roman" w:cs="Times New Roman"/>
          <w:b/>
          <w:bCs/>
          <w:sz w:val="20"/>
          <w:szCs w:val="20"/>
        </w:rPr>
        <w:t>F-16.   Are indirect costs, facilities and administrative costs, and direct overhead and administrative costs allowable?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Recipients and subrecipients may not pay for the following costs with grant or matching funds or accept them as matching in-kind contributions: (a) indirect costs; (b) facilities and administrative costs; and ©) direct costs that serve the purposes of several awards or other activities of an organization, but cannot be accurately divided among those awards or activities using appropriate measurable criteria.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Uniform Administrative Requirements for Grants and Agreements with Institutions of Higher Education, Hospitals, and other Non-Profit Organizations in 43 CFR 12.923 (b) states: “Unrecovered indirect costs may be included as part of cost sharing or matching only with the prior approval of the Federal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Cost Principles for State, Local, and Indian Tribal Governments (OMB Circular A-87) in Attachment A., section F.3.a., states: “In addition to restrictions contained in this Circular, there may be laws that further limit the amount of administrative or indirect cost allowed.”  Any Federal law or regulation that implements a federal law may limit or entirely prohibit the payment of indirect costs.  Federal regulations have the force of law.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One of the program regulations proposed for NAWCA stipulates that recipients and subrecipients may not pay for the following costs with grant or matching funds or accept them as matching in-kind contributions: (a) indirect costs; (b) facilities and administrative costs; and ©) direct costs that serve the purposes of several awards or other activities of an organization, but cannot be accurately divided among those awards or activities using appropriate measurable criteria.  This NAWCA program regulation  was proposed due to the complexity of the Federal indirect cost process, the difficulty in confirming the accuracy of indirect costs claims, applicants’ difficulty in accurately calculating indirect costs, and most significantly, the disproportionate benefit that accrues to the very few organizations that have indirect cost rates.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Sakkal Majalla" w:hAnsi="Sakkal Majalla" w:cs="Sakkal Majalla"/>
          <w:b/>
          <w:bCs/>
          <w:sz w:val="20"/>
          <w:szCs w:val="20"/>
        </w:rPr>
      </w:pPr>
      <w:r>
        <w:rPr>
          <w:rFonts w:ascii="Sakkal Majalla" w:hAnsi="Sakkal Majalla" w:cs="Sakkal Majalla"/>
          <w:b/>
          <w:bCs/>
          <w:sz w:val="20"/>
          <w:szCs w:val="20"/>
        </w:rPr>
        <w:t xml:space="preserve">F-17.   How do subawards, subgrants, pass-through funds, contracts, and subcontracts differ?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Subawards, subgrants, and pass-through funds, are synonymous for the purposes of the NAWCA Grants Program.  If a grant recipient awards part of the grant to another legal entity in the form of money, or property in lieu of money, and if that legal entity accepts accountability for carrying out a discrete part of the project, then the other legal entity has received a subaward, a subgrant, or pass-through funds.  In like manner, when a subrecipient awards part of a subaward to another legal entity in the form of money, or property in lieu of money, and if that legal entity accepts accountability for carrying out a discrete part of the project, then the other legal entity has received a subaward.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Contracts are mutually binding legal relationships obligating the seller to furnish the supplies or services (including construction) and the buyer to pay for them.  It includes all types of commitments that obligate the government to an expenditure of appropriated funds and, except as otherwise authorized, are in writing.  In addition to bilateral instruments, contracts include (but are not limited to): awards and notices of awards; job orders or task orders issued under basic ordering agreements; letter contracts; orders such as </w:t>
      </w:r>
      <w:r>
        <w:rPr>
          <w:rFonts w:ascii="Times New Roman" w:hAnsi="Times New Roman" w:cs="Times New Roman"/>
          <w:sz w:val="20"/>
          <w:szCs w:val="20"/>
        </w:rPr>
        <w:lastRenderedPageBreak/>
        <w:t>purchase orders, under which the contract becomes effective by written acceptance or performance; and bilateral contract modifications.  Contracts do not include grants and cooperative agreements covered by 31 U.S.C. 6301et seq.,‘Using Procurement Contracts and Grant and Cooperative Agreements”.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In the context of indirect costs, a subcontract means a contract awarded under a grant.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criteria below must be used to distinguish between subawards and subcontracts.  However, there may be unusual circumstances or exceptions to the listed characteristics.  In making the determination of whether a subrecipient or vendor relationship exists, the substance of the relationship is more important than the form of the agreement.  It is not expected that all of the characteristics will be present and judgment should be used in determining whether an entity is a subrecipient or vendor.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90"/>
        <w:rPr>
          <w:rFonts w:ascii="Sakkal Majalla" w:hAnsi="Sakkal Majalla" w:cs="Sakkal Majalla"/>
          <w:sz w:val="20"/>
          <w:szCs w:val="20"/>
        </w:rPr>
      </w:pPr>
      <w:r>
        <w:rPr>
          <w:rFonts w:ascii="Times New Roman" w:hAnsi="Times New Roman" w:cs="Times New Roman"/>
          <w:sz w:val="20"/>
          <w:szCs w:val="20"/>
        </w:rPr>
        <w:t xml:space="preserve">Characteristics indicative of a subaward are when the subrecipient: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(1) Determines who is eligible to receive what Federal financial assistance;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(2) Has its performance measured against whether the objectives of the Federal program are met;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(3) Has responsibility for programmatic decision making;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Times New Roman" w:hAnsi="Times New Roman" w:cs="Times New Roman"/>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(4) Has responsibility for adherence to applicable Federal program compliance requirements;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hanging="900"/>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ADVANCE \d4</w:instrText>
      </w:r>
      <w:r>
        <w:rPr>
          <w:rFonts w:ascii="Times New Roman" w:hAnsi="Times New Roman" w:cs="Times New Roman"/>
          <w:sz w:val="20"/>
          <w:szCs w:val="20"/>
        </w:rPr>
        <w:fldChar w:fldCharType="end"/>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(5) Uses the Federal funds to carry out a program of the organization as compared to providing goods or services for a program  </w:t>
      </w:r>
      <w:r>
        <w:rPr>
          <w:rFonts w:ascii="Times New Roman" w:hAnsi="Times New Roman" w:cs="Times New Roman"/>
          <w:sz w:val="20"/>
          <w:szCs w:val="20"/>
        </w:rPr>
        <w:tab/>
        <w:t xml:space="preserve">  of the pass-through entity (recipient);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(6) The mutual obligations  must be in writing.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hanging="540"/>
        <w:rPr>
          <w:rFonts w:ascii="Sakkal Majalla" w:hAnsi="Sakkal Majalla" w:cs="Sakkal Majalla"/>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ADVANCE \d4</w:instrText>
      </w:r>
      <w:r>
        <w:rPr>
          <w:rFonts w:ascii="Times New Roman" w:hAnsi="Times New Roman" w:cs="Times New Roman"/>
          <w:sz w:val="20"/>
          <w:szCs w:val="20"/>
        </w:rPr>
        <w:fldChar w:fldCharType="end"/>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Characteristics indicative of a payment for goods and services received by a contractor are when the organization: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(1) Provides the goods and services within normal business operations;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(2) Provides similar goods or services to many different purchasers;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(3) Operates in a competitive environment;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(4) Provides goods or services that are ancillary to the operation of the Federal program;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(5) Is not subject to compliance requirements of the Federal program;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(6) The mutual obligations  must be in writing.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definition of subaward is based on the definitions of subgrant and subgrantee in 43 CFR 12.43 and subaward and subrecipient in 43 CFR 12.902.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definition of a contract is the definition in OMB Circular A-87.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criteria for distinguishing between subawards and contracts is based on Audits of States, Local Governments, and Non-Profit Organizations, OMB Circular A-133 § __.210 and the definition of a contract in OMB Circular A-87.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sz w:val="20"/>
          <w:szCs w:val="20"/>
        </w:rPr>
        <w:t>A-133 defines a pass-through entity as “a non-Federal entity that provides a Federal award to a subrecipient to carry out a Federal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sz w:val="20"/>
          <w:szCs w:val="20"/>
        </w:rPr>
        <w:t>The U.S. Department of Agriculture’s “A Guide for Preparing Indirect Cost Proposals for Non-profit Organizations”, October 1999, in Attachment I, page 1, states: “Passthrough funds are normally defined as major subcontracts and subgrants which normally require minimal administrative efforts.”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Sakkal Majalla" w:hAnsi="Sakkal Majalla" w:cs="Sakkal Majalla"/>
          <w:b/>
          <w:bCs/>
          <w:sz w:val="20"/>
          <w:szCs w:val="20"/>
        </w:rPr>
        <w:t xml:space="preserve">F-18.   </w:t>
      </w:r>
      <w:r>
        <w:rPr>
          <w:rFonts w:ascii="Times New Roman" w:hAnsi="Times New Roman" w:cs="Times New Roman"/>
          <w:b/>
          <w:bCs/>
          <w:sz w:val="20"/>
          <w:szCs w:val="20"/>
        </w:rPr>
        <w:t xml:space="preserve">May I use a NAWCA grant to finance part of a larger project supported financially by other Federal agencies?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There is no prohibition on other Federal agencies providing funds for a project funded by NAWCA as long as the NAWCA monies are equally matched from non-Federal sources and neither the NAWCA grant funds nor NAWCA match are used as match or cost share for any other Federal program unless specifically authorized by statute.  For example, there is nothing that would prohibit the granting of NAWCA funds for a project in which part of the work is to be funded through the USFWS’s Partners for Fish and Wildlife Program, provided that all of the other requirements were followed; i.e., NAWCA monies were not used as match or cost share for the Partners Program, the Partner Program monies were not utilized as a match for NAWCA, and the NAWCA funds were equally matched by a non-Federal source, and that the NAWCA grant and match dollars funded a discrete project with an identifiable conservation achievement.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When NAWCA Federal and matching funds are part of a larger pool of funds, some of which is contributed by entities outside the NAWCA project, the discrete NAWCA project may include either (a) all the accomplishments (objectives) of the larger pool of funds, or (b) a subset of those accomplishments.  All accomplishments must be capable of being identified on the ground as the </w:t>
      </w:r>
      <w:r>
        <w:rPr>
          <w:rFonts w:ascii="Times New Roman" w:hAnsi="Times New Roman" w:cs="Times New Roman"/>
          <w:sz w:val="20"/>
          <w:szCs w:val="20"/>
        </w:rPr>
        <w:lastRenderedPageBreak/>
        <w:t>return on the investment by the NAWCA Grants Program.   If the recipient specifies that the NAWCA objectives include all the objectives of the larger project, it is the recipient’s responsibility to resolve, prior to the award, any potentially overlapping claims with respect to the amounts due the other funding entities in the event of any post-award disposition of real property, equipment, or supplies acquired in the larger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Non-Profit Organizations, OMB Circular A-122, Attachment A, Section A.2.f. states: To be allowable under an award, costs must . . . not be included as a cost or used to meet cost sharing or matching requirements of any other federally financed program in either the current or a prior period.   OMB Circular A-122, Attachment A, Section and A.4.a.(2) states: “A cost is allocable to a Federal award if it . . .  Benefits both the award and other work and can be distributed in reasonable proportion to the benefits received.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Educational Institutions, OMB Circular A-21, C.4.a, states: “A cost is allocable to a particular cost objective (i.e., a specific function, project, sponsored agreement, department or the like) if the goods or services involved are chargeable or assignable to such cost objective in accordance with relative benefits received or other equitable relationship.”</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Attachment A, C.3.a., states: “A cost is allocable to a particular cost objective if the goods or services involved are chargeable or assignable to such cost objective in accordance with relative benefits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Solicitor’s Opinion on Partners in NAWCA Grants signed by Lawrence P Mellinger, Attorney Advisor, Parks and Wildlife Division, to Director, U.S. Fish and Wildlife Service, dated January 16, 2003, states:    “. . .[A]lthough there is no prohibition on NAWCA contributing funding to an  overall conservation initiative, involving perhaps many Federal and non-Federal entities, it is essential to maintaining the integrity of the NAWCA program that within th e context of any such initiative, a discrete”project” be identified for which the NAWCA funding and the “non-Federal match” will be held accountable.”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Sakkal Majalla" w:hAnsi="Sakkal Majalla" w:cs="Sakkal Majalla"/>
          <w:b/>
          <w:bCs/>
          <w:sz w:val="20"/>
          <w:szCs w:val="20"/>
        </w:rPr>
      </w:pPr>
      <w:r>
        <w:rPr>
          <w:rFonts w:ascii="Sakkal Majalla" w:hAnsi="Sakkal Majalla" w:cs="Sakkal Majalla"/>
          <w:b/>
          <w:bCs/>
          <w:sz w:val="20"/>
          <w:szCs w:val="20"/>
        </w:rPr>
        <w:t>F-19.   How will I receive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Sakkal Majalla" w:hAnsi="Sakkal Majalla" w:cs="Sakkal Majalla"/>
          <w:sz w:val="20"/>
          <w:szCs w:val="20"/>
        </w:rPr>
        <w:t xml:space="preserve">The recipient’s financial institution must be able to receive Federal funds through the electronic funds transfer process and be able to request advance payment and reimbursement through SMARTLINK, an electronic funds transfer system that is administered by the U.S. Department of Health and Human Services Division of Payment Management (DPM).  The SMARTLINK system is accessible via a personal computer and an Internet or dial-up networking connection.  Detailed information regarding SMARTLINK is available on-line at </w:t>
      </w:r>
      <w:r>
        <w:rPr>
          <w:rFonts w:ascii="Sakkal Majalla" w:hAnsi="Sakkal Majalla" w:cs="Sakkal Majalla"/>
          <w:b/>
          <w:bCs/>
          <w:sz w:val="20"/>
          <w:szCs w:val="20"/>
          <w:u w:val="single"/>
        </w:rPr>
        <w:t>http://www.dpm.psc.gov.</w:t>
      </w:r>
      <w:r>
        <w:rPr>
          <w:rFonts w:ascii="Times New Roman" w:hAnsi="Times New Roman" w:cs="Times New Roman"/>
          <w:sz w:val="20"/>
          <w:szCs w:val="20"/>
        </w:rPr>
        <w:t xml:space="preserve"> Generally, funds requested through the SMARTLINK system are delivered the next business day.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To register for a SMARTLINK account, the recipient must complete sign-up forms that are available from the Division of Bird Habitat Conservation’s website at </w:t>
      </w:r>
      <w:r>
        <w:rPr>
          <w:rStyle w:val="Hypertext"/>
          <w:rFonts w:ascii="Times New Roman" w:hAnsi="Times New Roman" w:cs="Times New Roman"/>
          <w:color w:val="000000"/>
          <w:sz w:val="20"/>
          <w:szCs w:val="20"/>
        </w:rPr>
        <w:t>http://birdhabitat.fws.gov.</w:t>
      </w:r>
      <w:r>
        <w:rPr>
          <w:rFonts w:ascii="Times New Roman" w:hAnsi="Times New Roman" w:cs="Times New Roman"/>
          <w:sz w:val="20"/>
          <w:szCs w:val="20"/>
        </w:rPr>
        <w:t xml:space="preserve">  The DPM will provide the recipient with account access information.  A recipient’s guide to this payment management system is available on-line at </w:t>
      </w:r>
      <w:r>
        <w:rPr>
          <w:rFonts w:ascii="Times New Roman" w:hAnsi="Times New Roman" w:cs="Times New Roman"/>
          <w:sz w:val="20"/>
          <w:szCs w:val="20"/>
          <w:u w:val="single"/>
        </w:rPr>
        <w:t>http://www.dpm.psc.gov</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F-20.</w:t>
      </w:r>
      <w:r>
        <w:rPr>
          <w:rFonts w:ascii="Times New Roman" w:hAnsi="Times New Roman" w:cs="Times New Roman"/>
          <w:sz w:val="20"/>
          <w:szCs w:val="20"/>
        </w:rPr>
        <w:t xml:space="preserve">   </w:t>
      </w:r>
      <w:r>
        <w:rPr>
          <w:rFonts w:ascii="Times New Roman" w:hAnsi="Times New Roman" w:cs="Times New Roman"/>
          <w:b/>
          <w:bCs/>
          <w:sz w:val="20"/>
          <w:szCs w:val="20"/>
        </w:rPr>
        <w:t>May a subrecipient receive Federal funds directly through SMARTLINK?</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Only the recipient may receive Federal grant funds directly through SMARTLINK.</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 See definitions of “grantee” and “subgrantee” at 43 CFR 12.43 and “recipient” and “subrecipient” at 43 CFR 12.902.</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F-21.   When can I receive Federal funds as a reimbursement payment?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recipient may request a reimbursement payment only if: (a) it enrolls in Smartlink and receives account access information from </w:t>
      </w:r>
      <w:r>
        <w:rPr>
          <w:rFonts w:ascii="Sakkal Majalla" w:hAnsi="Sakkal Majalla" w:cs="Sakkal Majalla"/>
          <w:sz w:val="20"/>
          <w:szCs w:val="20"/>
        </w:rPr>
        <w:t>the U.S. Department of Health and Human Services Division of Payment Management</w:t>
      </w:r>
      <w:r>
        <w:rPr>
          <w:rFonts w:ascii="Times New Roman" w:hAnsi="Times New Roman" w:cs="Times New Roman"/>
          <w:sz w:val="20"/>
          <w:szCs w:val="20"/>
        </w:rPr>
        <w:t>; and (b) it requests reimbursement during the funding period designated on an Agreement signed by the grant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F-22.   When can I receive Federal funds as an advance payment?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may request cash advance payment when the following requirements are met: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pStyle w:val="Level5"/>
        <w:numPr>
          <w:ilvl w:val="4"/>
          <w:numId w:val="10"/>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It enrolls in SMARTLINK and receives account access information from the U.S. Department of Health and Human Services Division of Payment Management.</w:t>
      </w:r>
    </w:p>
    <w:p w:rsidR="001F0636" w:rsidRDefault="001F0636">
      <w:pPr>
        <w:pStyle w:val="Level5"/>
        <w:numPr>
          <w:ilvl w:val="4"/>
          <w:numId w:val="10"/>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It requests the advance during the funding period designated on an Agreement signed by the grant officer.</w:t>
      </w:r>
    </w:p>
    <w:p w:rsidR="001F0636" w:rsidRDefault="001F0636">
      <w:pPr>
        <w:pStyle w:val="Level5"/>
        <w:numPr>
          <w:ilvl w:val="4"/>
          <w:numId w:val="10"/>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It maintains procedures to minimize the time elapsing between the transfer of the actual immediate cash requirements and the disbursement by the recipient and subrecipient.</w:t>
      </w:r>
    </w:p>
    <w:p w:rsidR="001F0636" w:rsidRDefault="001F0636">
      <w:pPr>
        <w:pStyle w:val="Level5"/>
        <w:numPr>
          <w:ilvl w:val="4"/>
          <w:numId w:val="10"/>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 xml:space="preserve">If a State recipient is included in a Treasury-State agreement, excluding State universities and State hospitals, it must </w:t>
      </w:r>
      <w:r>
        <w:rPr>
          <w:sz w:val="20"/>
          <w:szCs w:val="20"/>
        </w:rPr>
        <w:lastRenderedPageBreak/>
        <w:t>make cash advance drawdowns as close as possible to the time of making disbursements, but not more than three business days beforehand.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630" w:right="540" w:bottom="720" w:left="720" w:header="630" w:footer="720" w:gutter="0"/>
          <w:cols w:space="720"/>
          <w:noEndnote/>
        </w:sectPr>
      </w:pPr>
    </w:p>
    <w:p w:rsidR="001F0636" w:rsidRDefault="001F0636">
      <w:pPr>
        <w:pStyle w:val="Level1"/>
        <w:numPr>
          <w:ilvl w:val="0"/>
          <w:numId w:val="11"/>
        </w:numPr>
        <w:tabs>
          <w:tab w:val="left" w:pos="-480"/>
          <w:tab w:val="left" w:pos="0"/>
          <w:tab w:val="num" w:pos="90"/>
          <w:tab w:val="left" w:pos="180"/>
          <w:tab w:val="left" w:pos="270"/>
          <w:tab w:val="left" w:pos="360"/>
          <w:tab w:val="left" w:pos="540"/>
          <w:tab w:val="left" w:pos="720"/>
          <w:tab w:val="left" w:pos="900"/>
          <w:tab w:val="left" w:pos="1080"/>
        </w:tabs>
        <w:ind w:left="90" w:hanging="90"/>
        <w:rPr>
          <w:rFonts w:ascii="Times New Roman" w:hAnsi="Times New Roman" w:cs="Times New Roman"/>
          <w:sz w:val="20"/>
          <w:szCs w:val="20"/>
        </w:rPr>
      </w:pPr>
      <w:r>
        <w:rPr>
          <w:sz w:val="20"/>
          <w:szCs w:val="20"/>
        </w:rPr>
        <w:lastRenderedPageBreak/>
        <w:t xml:space="preserve">See 43 CFR 12.61©), which is applicable to State, local and Indian Tribal governments, and 43 CFR 12.922 (a), which is applicable to institutions of higher education, hospitals, other non-profit organizations.  43 CFR 12.922(a) is also applicable to commercial organizations by policy consistent with A-110, section </w:t>
      </w:r>
      <w:r>
        <w:rPr>
          <w:sz w:val="20"/>
          <w:szCs w:val="20"/>
          <w:u w:val="single"/>
        </w:rPr>
        <w:t xml:space="preserve">    </w:t>
      </w:r>
      <w:r>
        <w:rPr>
          <w:sz w:val="20"/>
          <w:szCs w:val="20"/>
        </w:rPr>
        <w:t xml:space="preserve"> .2, and, by policy consistent with Public Law 102-154, title I, and published in the Historic and Revision Notes of 31 U.S.C. 6305, individuals and other organizations and institutions organized, chartered, or recognized under State, local, or Federal law, as long as these entities are not considered part of, or instrumentalities of, the Federal government, States, federally recognized Tribes, or local governments.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16"/>
          <w:szCs w:val="16"/>
        </w:rPr>
        <w:t>(d)</w:t>
      </w:r>
      <w:r>
        <w:rPr>
          <w:rFonts w:ascii="Times New Roman" w:hAnsi="Times New Roman" w:cs="Times New Roman"/>
          <w:sz w:val="16"/>
          <w:szCs w:val="16"/>
        </w:rPr>
        <w:tab/>
        <w:t>See 31 CFR 205.3 for applicability of subpart A to States included in a Treasury-State agreement.  See 43 CFR 12.61©) for the source of the language stating: “cash drawdowns as close as possible to the time of making disbursements”.   See 31 CFR 205.33 for additional requirement for making cash drawdowns as close as possible to the time of making disbursements” for States not subject to a Treasury-State agreement.   See 31 CFR 205.12 for the three business-day limit for States subject to Treasury-State agreements.  It states in 43 CFR 12.922(l): “State universities and hospitals shall comply with CMIA, as it pertains to interest.”  However, the definition of a “State” in the CMIA (Cash Management Improvement Act) and in its implementing regulations at 31 CFR, part 205, excludes institutions of higher education and hospitals, therefore CMIA is not applicable.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F-23.   In what kind of financial institutions do I have to maintain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Recipients that are institutions of higher education, hospitals, other nonprofit organizations, commercial organizations, individuals, and all other recipients except States, State universities and hospitals, federally recognized Tribes, and local governments must deposit and maintain advances of Federal funds in insured accounts whenever possible.  Consistent with the national goal of expanding its opportunities for minority business enterprises, recipients and subrecipients are encouraged to use minority banks (a bank which is owned at least 50 percent by minority group members).  A list of minority owned banks can be obtained from the Minority Business Development Agency, Department of Commerce, Washington, DC 20230.  All recipients except States, federally recognized Tribes, and local governments are encouraged in 43 CFR, part 12, to also use banks that are at least 50 percent owned by women.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See 43 CFR 12.61(h), which is applicable to States, federally recognized Tribes,  encourages the use of minority-owned banks.  43 CFR 12.922(j), which is applicable to institutions of higher education, hospitals, and other nonprofit organizations encourages the use of both minority-owned and women-owned banks.  By NAWCA policy, 43 CFR 12.922(j) is also applicable to commercial enterprises, individuals, and all other domestic entities except States, federally recognized Tribes, and local governments.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F-24.   Do I have to deposit advances of Federal funds in interest-bearing accounts separate from other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Recipients that are institutions of higher education, hospitals, other nonprofit organizations, commercial organizations, individuals, and all other entities except States, State universities and hospitals, federally recognized Tribes, and local governments  must deposit advances of Federal funds in interest bearing accounts unless (a), (b), or ©) apply: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(a) The recipient receives less than $120,000 in Federal awards per year.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(b) The best reasonably available interest bearing account would not be expected to earn interest in excess of $250 per year.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The depository would require an average or minimum balance so high that it would not be feasible within the expected Federal and non-Federal cash resources.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Separate depository accounts are not required, but recipients must be able to account for the receipt, obligation, and expenditure of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See 43  CFR 12.922(k).  There is no requirement that States, federally recognized Tribes, and local governments deposit advances of Federal funds in interest bearing accounts.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F-25.   May I keep the interest earned on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If a Treasury-State agreement is in place, States incur an interest liability from the day Federal funds are credited to the account to the day funds are disbursed for project purposes or credited to a Federal Government account as a refund whether or not they deposit </w:t>
      </w:r>
      <w:r>
        <w:rPr>
          <w:rFonts w:ascii="Times New Roman" w:hAnsi="Times New Roman" w:cs="Times New Roman"/>
          <w:sz w:val="20"/>
          <w:szCs w:val="20"/>
        </w:rPr>
        <w:lastRenderedPageBreak/>
        <w:t>their Federal grant funds in interest-bearing accounts, which they are not required to do.  The rate of the interest liability for a State recipient is the annualized rate equal to the average yields of 13-week Treasury Bills auctioned during a State’s fiscal year as established by 31 CFR 205.12.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States that are not subject to a Treasury-State agreement have no interest liability to the Federal government whether or not they earn interest on Federal cash advances.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 Federally recognized Tribal recipients and local government recipients are not required to deposit Federal grant payments in an interest-bearing account.  They have no interest liability beyond what they actually earn.  They may retain interest amounts up to $100 per year for administrative expenses.  Interest on cash advances above $100 must be remitted promptly, but at least quarterly, to the USFWS.  Interest above $100 per year earned by local governments and federally recognized Tribes will not be considered a debt until after 90 days from the end of the quarter.  USFWS will initiate claims collection procedures after the 90-day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(d) Recipients that are institutions of higher education, hospitals, other nonprofit organizations, commercial organizations, American citizens, individuals with permanent residency status, and all other recipients except States, State universities and hospitals, federally recognized Tribes, and local governments may retain up to $250 of interest earned annually on advances of Federal funds</w:t>
      </w:r>
      <w:r>
        <w:rPr>
          <w:rFonts w:ascii="Times New Roman" w:hAnsi="Times New Roman" w:cs="Times New Roman"/>
          <w:b/>
          <w:bCs/>
          <w:sz w:val="20"/>
          <w:szCs w:val="20"/>
        </w:rPr>
        <w:t xml:space="preserve">.  </w:t>
      </w:r>
      <w:r>
        <w:rPr>
          <w:rFonts w:ascii="Times New Roman" w:hAnsi="Times New Roman" w:cs="Times New Roman"/>
          <w:sz w:val="20"/>
          <w:szCs w:val="20"/>
        </w:rPr>
        <w:t xml:space="preserve">The amount retained may be used for administrative expense.  The amount of interest in excess of $250 annually must be remitted annually to the </w:t>
      </w:r>
      <w:r>
        <w:rPr>
          <w:rFonts w:ascii="Sakkal Majalla" w:hAnsi="Sakkal Majalla" w:cs="Sakkal Majalla"/>
          <w:sz w:val="20"/>
          <w:szCs w:val="20"/>
        </w:rPr>
        <w:t>U.S. Department of Health and Human Services Division of Payment Management (DPM)</w:t>
      </w:r>
      <w:r>
        <w:rPr>
          <w:rFonts w:ascii="Times New Roman" w:hAnsi="Times New Roman" w:cs="Times New Roman"/>
          <w:sz w:val="20"/>
          <w:szCs w:val="20"/>
        </w:rPr>
        <w:t xml:space="preserve">.  Visit the DPM website at </w:t>
      </w:r>
      <w:r>
        <w:rPr>
          <w:rFonts w:ascii="Sakkal Majalla" w:hAnsi="Sakkal Majalla" w:cs="Sakkal Majalla"/>
          <w:b/>
          <w:bCs/>
          <w:sz w:val="20"/>
          <w:szCs w:val="20"/>
          <w:u w:val="single"/>
        </w:rPr>
        <w:t>http://www.dpm.psc.gov/funding/</w:t>
      </w:r>
      <w:r>
        <w:rPr>
          <w:rFonts w:ascii="Times New Roman" w:hAnsi="Times New Roman" w:cs="Times New Roman"/>
          <w:sz w:val="20"/>
          <w:szCs w:val="20"/>
        </w:rPr>
        <w:t xml:space="preserve"> for specific remittance instructions.  Interest above $250 per year earned by local governments and federally recognized Tribes will not be considered a debt until after 90 days from the end of the quarter.  USFWS will initiate claims collection procedures after the 90-day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See 31 CFR 205.3 for applicability of subpart A to States included in a Treasury-State agreement.  See 31 CFR 205.15 for the accrual of interest liability.  See 31 CFR 205.19 (b)&amp;©) for the calculation of the rate of interest liability.  As of the date of the Policy, no State has entered into an agreement with the U.S. Treasury on interest payments in the NAWCA Grants Program, but it is the responsibility of the State recipient to ascertain if such an agreement has been initiated.  See 31 CFR 205 for details on remittance of interest.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(b) See 43 CFR 12.205.33(b).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See 43 CFR 12.61(I).  31 CFR, part 901</w:t>
      </w:r>
      <w:r>
        <w:rPr>
          <w:rFonts w:ascii="Times New Roman" w:hAnsi="Times New Roman" w:cs="Times New Roman"/>
          <w:sz w:val="20"/>
          <w:szCs w:val="20"/>
        </w:rPr>
        <w:t>, provides for claims collection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 See 43 CFR 12(l).  31 CFR, part 901</w:t>
      </w:r>
      <w:r>
        <w:rPr>
          <w:rFonts w:ascii="Times New Roman" w:hAnsi="Times New Roman" w:cs="Times New Roman"/>
          <w:sz w:val="20"/>
          <w:szCs w:val="20"/>
        </w:rPr>
        <w:t>, provides for claims collection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F-26.   If I draw down Federal funds as a cash advance, how long do I have to disburse the funds or refund the advance?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recipient draws down more than $10,000 in Federal funds as a cash advance, but the funds are erroneously drawn in excess of immediate disbursement needs, the funds received must be promptly refunded to the Federal program agency and redrawn when needed.  The only exceptions to the requirement for prompt refunding are when the funds involved will be disbursed by the recipient organization within seven calendar days, or are less than $10,000 and will be disbursed within 30 calendar days.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Department of the Interior’s Departmental Manual 339 DM 1.4 states: “Bureaus are responsible for : (1) ensuring that the amounts of advances made are not excessive; . . . (3) monitoring advances to ensure that cash is not maintained by recipients in excess of immediate need, and that any excess balances of cash are promptly returned to Treasury; . . .”  339 DM 1.2 B. lists as a reference the Treasury Fiscal Requirements Manual (TFRM),volume I, part 6, chapter 2000, “Cash Advances under Federal Grant and Other Programs”.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I TFRM 6-2010 stipulates the seven-day limit for refunding drawdowns more than $10,000 in excess of immediate disbursement needs and the 30-day limit for refunding drawdowns less than $10,000 in excess of immediate disbursement needs.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F-27.   May I draw dawn Federal funds in excess of the proportionate share of the match used?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may not draw down Federal grant funds in excess of the proportionate share of the sum of matching in-kind contributions received and the matching cash disbursed (if cash basis) or matching cash obligated (if accrual basis).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If a State recipient is subject to a Treasury-State agreement, 31 CFR 205.15(d) applies.  It states: “In programs utilizing mandatory matching of Federal funds with State funds, a State must not arbitrarily assign its earliest costs to the Federal government.  A State incurs interest liabilities if it draws Federal funds in advance and/or in excess of the required proportion of agreed upon levels of State contributions in programs utilizing mandatory matching of Federal funds with State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NAWCA, subsection 8©)(1) states: “The Secretary may from time to time make payments to carry out approved wetlands conservation projects as such projects progress, but such payments, including previous payments, if any, shall not be more than the Federal pro rata share of any such project in conformity with subsection (b) of this section.”  This provision can only mean that the cumulative total of  drawdowns of Federal funds must not exceed the Federal pro rata share of the total of drawdowns of Federal funds, matching cash expended, and matching in-kind contributions actually received.  Another possible interpretation is that the cumulative total of drawdowns must not exceed the amount determined by the Federal pro rata share, but the word “amount” or its equivalent is not used.  In any case, the latter alternative interpretation would merely be a statement of the obvious and a repeat of NAWCA’s subsection 8.(b).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F-28.   Do I have to spend project funds available from other sources before drawing down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Recipients must disburse repayments to, and interest earned on a revolving fund, program income, rebates, refunds, contract settlements, audit recoveries and interest earned on such funds before drawing down Federal funds.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lastRenderedPageBreak/>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20"/>
          <w:szCs w:val="20"/>
        </w:rPr>
        <w:t>See 43 CFR 12.61(f) and 43 CFR 12.922(g).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F-29.   Do I have to send in reports on Federal funds received through SMARTLINK?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The recipient is required to complete a quarterly Report of Federal Cash Transactions and must use the electronic PSC-272 system available through SMARTLINK, an efficient way of reporting this data.  The recipient is required to submit the SF-272 (or any successor financial status form that incorporates the SF-272) 30 work days after the end of each quarter.  The quarters end on March 31, June 30, September 30, and December 31.  Recipients do not have to submit reports for the partial quarters that usually occur at the beginning and end of each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43 CFR 12.81 (State, local and Indian Tribal governments) and 43 CFR 12.952 (institutions of higher education, other non-profit organizations, commercial organizations, and individuals) provide requirements for reports on funds that are advanced and to monitor disbursement information.  Smartlink is a tool to simplify the reporting.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G.</w:t>
      </w:r>
      <w:r>
        <w:rPr>
          <w:rFonts w:ascii="Times New Roman" w:hAnsi="Times New Roman" w:cs="Times New Roman"/>
          <w:sz w:val="20"/>
          <w:szCs w:val="20"/>
        </w:rPr>
        <w:t xml:space="preserve">   </w:t>
      </w:r>
      <w:r>
        <w:rPr>
          <w:rFonts w:ascii="Times New Roman" w:hAnsi="Times New Roman" w:cs="Times New Roman"/>
          <w:b/>
          <w:bCs/>
          <w:sz w:val="20"/>
          <w:szCs w:val="20"/>
        </w:rPr>
        <w:t>EQUIPMENT AND SUPPLIES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G-1.   What are the rules on use of equipment?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State, Commonwealth, Territory, and the District of Columbia may use and manage equipment acquired under a grant in accordance with its own laws and procedures.  In using, managing, and disposing of equipment acquired in a grant-funded project, local governments, and federally recognized Indian Tribal governments must comply with 43 CFR 12.72; institutions of higher learning, other nonprofit organizations, commercial organizations, and individuals must comply with 43 CFR 12.934.  Key provisions of 43 CFR 12.72 and 43 CFR 12.934 are presented below.  They are applicable to all recipients except States.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Title to all equipment acquired for the project will vest in the recipient or subrecipient.  The recipient must ensure that adequate maintenance procedures are implemented to keep the equipment in good condition.  A control system must be developed to ensure adequate safeguards to prevent loss, damage, or theft of the property.  Any loss, damage, or theft must be investigated.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recipient or subrecipient must use the equipment acquired for the project as long as needed whether or not the project continues to be supported by Federal funds.  While the equipment is used for the project, the recipient or subrecipient must make it available for use on other projects or programs currently or previously supported by the Federal government if such other use will not interfere with the work on the project for which the equipment was originally acquired.  The recipient or subrecipient must give first preference for such other use to other projects or programs sponsored by the Department of the Interior and second preference to projects and programs sponsored by other Federal agencies.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12.72 and 43 CFR 12.934 govern the use of equipment acquired under a grant or cooperative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760" w:hanging="5670"/>
        <w:rPr>
          <w:rFonts w:ascii="Times New Roman" w:hAnsi="Times New Roman" w:cs="Times New Roman"/>
          <w:sz w:val="20"/>
          <w:szCs w:val="20"/>
        </w:rPr>
      </w:pPr>
      <w:r>
        <w:rPr>
          <w:rFonts w:ascii="Times New Roman" w:hAnsi="Times New Roman" w:cs="Times New Roman"/>
          <w:b/>
          <w:bCs/>
          <w:sz w:val="20"/>
          <w:szCs w:val="20"/>
        </w:rPr>
        <w:t>G-2.   How often do I have to inventory equipment?</w:t>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State, Commonwealth, Territory, and the District of Columbia may inventory equipment acquired under a grant in accordance with its own laws and procedures.  Every other recipient must take a physical inventory of equipment acquired with grant or match funds or received as a matching in-kind contribution immediately prior to submitting the final performance report and at least once every two years thereafter.  The recipient must reconcile the results with its existing equipment records.  The inventory must contain the </w:t>
      </w:r>
      <w:r>
        <w:rPr>
          <w:rFonts w:ascii="Times New Roman" w:hAnsi="Times New Roman" w:cs="Times New Roman"/>
          <w:sz w:val="20"/>
          <w:szCs w:val="20"/>
        </w:rPr>
        <w:lastRenderedPageBreak/>
        <w:t>following:</w:t>
      </w:r>
    </w:p>
    <w:p w:rsidR="001F0636" w:rsidRDefault="001F0636">
      <w:pPr>
        <w:pStyle w:val="Level5"/>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a description of the equipment;</w:t>
      </w:r>
    </w:p>
    <w:p w:rsidR="001F0636" w:rsidRDefault="001F0636">
      <w:pPr>
        <w:pStyle w:val="Level4"/>
        <w:numPr>
          <w:ilvl w:val="3"/>
          <w:numId w:val="12"/>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manufacturer’s serial number, model number, Federal stock number, national stock number, or other identification number;</w:t>
      </w:r>
    </w:p>
    <w:p w:rsidR="001F0636" w:rsidRDefault="001F0636">
      <w:pPr>
        <w:pStyle w:val="Level4"/>
        <w:numPr>
          <w:ilvl w:val="3"/>
          <w:numId w:val="12"/>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source of the equipment including the award number;</w:t>
      </w:r>
    </w:p>
    <w:p w:rsidR="001F0636" w:rsidRDefault="001F0636">
      <w:pPr>
        <w:pStyle w:val="Level1"/>
        <w:numPr>
          <w:ilvl w:val="0"/>
          <w:numId w:val="13"/>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whether title vests in the recipient or the Federal Government;</w:t>
      </w:r>
    </w:p>
    <w:p w:rsidR="001F0636" w:rsidRDefault="001F0636">
      <w:pPr>
        <w:pStyle w:val="Level4"/>
        <w:numPr>
          <w:ilvl w:val="3"/>
          <w:numId w:val="14"/>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 xml:space="preserve">acquisition date and cost;  </w:t>
      </w:r>
    </w:p>
    <w:p w:rsidR="001F0636" w:rsidRDefault="001F0636">
      <w:pPr>
        <w:pStyle w:val="Level4"/>
        <w:numPr>
          <w:ilvl w:val="3"/>
          <w:numId w:val="14"/>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the percentage of Federal participation in the cost of the original project (</w:t>
      </w:r>
      <w:r>
        <w:rPr>
          <w:sz w:val="20"/>
          <w:szCs w:val="20"/>
          <w:u w:val="single"/>
        </w:rPr>
        <w:t>actual</w:t>
      </w:r>
      <w:r>
        <w:rPr>
          <w:sz w:val="20"/>
          <w:szCs w:val="20"/>
        </w:rPr>
        <w:t xml:space="preserve"> expenditures and value of matching in-kind contributions and </w:t>
      </w:r>
      <w:r>
        <w:rPr>
          <w:sz w:val="20"/>
          <w:szCs w:val="20"/>
          <w:u w:val="single"/>
        </w:rPr>
        <w:t>not</w:t>
      </w:r>
      <w:r>
        <w:rPr>
          <w:sz w:val="20"/>
          <w:szCs w:val="20"/>
        </w:rPr>
        <w:t xml:space="preserve"> costs as estimated in the proposal);</w:t>
      </w:r>
    </w:p>
    <w:p w:rsidR="001F0636" w:rsidRDefault="001F0636">
      <w:pPr>
        <w:pStyle w:val="Level4"/>
        <w:numPr>
          <w:ilvl w:val="3"/>
          <w:numId w:val="14"/>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location and condition of the equipment and the most recent date such information was confirmed by the project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firstLine="90"/>
        <w:rPr>
          <w:sz w:val="20"/>
          <w:szCs w:val="20"/>
        </w:rPr>
      </w:pPr>
      <w:r>
        <w:rPr>
          <w:sz w:val="20"/>
          <w:szCs w:val="20"/>
        </w:rPr>
        <w:t>(h)</w:t>
      </w:r>
      <w:r>
        <w:rPr>
          <w:sz w:val="20"/>
          <w:szCs w:val="20"/>
        </w:rPr>
        <w:tab/>
        <w:t xml:space="preserve">unit acquisition cost;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firstLine="90"/>
        <w:rPr>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sz w:val="20"/>
          <w:szCs w:val="20"/>
        </w:rPr>
      </w:pPr>
      <w:r>
        <w:rPr>
          <w:sz w:val="20"/>
          <w:szCs w:val="20"/>
        </w:rPr>
        <w:lastRenderedPageBreak/>
        <w:t>(I)</w:t>
      </w:r>
      <w:r>
        <w:rPr>
          <w:sz w:val="20"/>
          <w:szCs w:val="20"/>
        </w:rPr>
        <w:tab/>
        <w:t>estimated current fair market value;</w:t>
      </w:r>
    </w:p>
    <w:p w:rsidR="001F0636" w:rsidRDefault="001F0636">
      <w:pPr>
        <w:pStyle w:val="Level1"/>
        <w:numPr>
          <w:ilvl w:val="0"/>
          <w:numId w:val="15"/>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method used to estimate the current fair market value;</w:t>
      </w:r>
    </w:p>
    <w:p w:rsidR="001F0636" w:rsidRDefault="001F0636">
      <w:pPr>
        <w:pStyle w:val="Level1"/>
        <w:numPr>
          <w:ilvl w:val="0"/>
          <w:numId w:val="16"/>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 xml:space="preserve">whether there is a continuing need for equipment having a current fair market value greater than $5,000 for ongoing management of the project; </w:t>
      </w:r>
    </w:p>
    <w:p w:rsidR="001F0636" w:rsidRDefault="001F0636">
      <w:pPr>
        <w:pStyle w:val="Level1"/>
        <w:numPr>
          <w:ilvl w:val="0"/>
          <w:numId w:val="17"/>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whether there is a need for equipment having a current fair market value greater than $5,000 in another project or program sponsored by the USFWS (if there is no need for the equipment as in (k));</w:t>
      </w:r>
    </w:p>
    <w:p w:rsidR="001F0636" w:rsidRDefault="001F0636">
      <w:pPr>
        <w:pStyle w:val="Level1"/>
        <w:numPr>
          <w:ilvl w:val="0"/>
          <w:numId w:val="18"/>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whether there is a need for the equipment having a current fair market value greater than $5,000 in another project or program sponsored by another Federal agency (if there is no need for the equipment as in (k) and (l)); and</w:t>
      </w:r>
    </w:p>
    <w:p w:rsidR="001F0636" w:rsidRDefault="001F0636">
      <w:pPr>
        <w:pStyle w:val="Level1"/>
        <w:numPr>
          <w:ilvl w:val="0"/>
          <w:numId w:val="19"/>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a request for disposition instructions for all equipment with a current per-unit fair market value greater than $5,000 (if there is no need for the equipment as in (k), (l), and (m)).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sz w:val="20"/>
          <w:szCs w:val="20"/>
        </w:rPr>
      </w:pPr>
      <w:r>
        <w:rPr>
          <w:sz w:val="20"/>
          <w:szCs w:val="20"/>
        </w:rPr>
        <w:t>The recipient must submit the inventory, as listed above, to the grant officer with the final performance report.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12.72 and 43 CFR 12.934 stipulate the requirements for inventories of equipment acquired under a grant or cooperative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G-3.   What are the rules on replacement and disposal of equipment?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36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States, Commonwealths, Territories, District of Columbia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State, Commonwealth, Territory, and the District of Columbia may replace and dispose of equipment acquired under a grant or cooperative agreement in accordance with its own laws and procedures.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Local Governments and Federally Recognized Tribal Governments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recipient must use the equipment in the project for which it was acquired as long as needed, whether or not the project continues to be supported by Federal funds.  When no longer needed for the original project, the recipient may use the equipment in other activities currently or previously supported by a Federal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When acquiring replacement equipment, the recipient may use the equipment to be replaced as trade-in or sell the equipment and use the proceeds to offset the costs of the replacement equipment subject to the approval of the USFWS.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When original or replacement equipment acquired in a federally assisted project, is no longer needed for the original project or for other activities currently or previously supported by a Federal agency, disposition of the equipment will be made as follows: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Items of equipment with a current market value of less than $5,000 may be retained, sold, or otherwise disposed of with no further obligation to the USFWS.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(b) Items of equipment with a current market value in excess of $5,000 may be retained or sold and the USFWS will have a right to </w:t>
      </w:r>
      <w:r>
        <w:rPr>
          <w:rFonts w:ascii="Times New Roman" w:hAnsi="Times New Roman" w:cs="Times New Roman"/>
          <w:sz w:val="20"/>
          <w:szCs w:val="20"/>
        </w:rPr>
        <w:lastRenderedPageBreak/>
        <w:t xml:space="preserve">an amount calculated by applying the percentage of Federal participation in the cost of the original project to the current market value of the equipment.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In cases where a recipient or subrecipient fails to take appropriate disposition actions, the USFWS may direct the recipient or subrecipient to take excess and disposition actions.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USFWS may reserve the right to transfer title to the Federal Government or a third party of its choosing when such a third party is otherwise eligible under existing statutes.  Such transfers are subject to the following standards: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equipment must be identified in the grant or otherwise made known to the recipient in writing.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 xml:space="preserve">(b) The USFWS must issue disposition instruction within 120 calendar days after the end of the Federal support of the project for which it was acquired.  If the USFWS fails to issue disposition instructions within the 120 calendar-day period the recipient must follow the procedure described in the preceding paragraph.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When title to equipment is transferred, the recipient must be paid an amount calculated by applying the percentage of Federal participation in the cost of the original project to the current market value of the equipment.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 xml:space="preserve">Institutions of Higher Education, Hospitals, Other Nonprofit Organizations, Commercial Organizations, Individuals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recipient must use the equipment in the project for which it was acquired as long as needed, whether or not the project continues to be supported by Federal funds, and must not encumber the equipment without approval of the USFWS.  When no longer needed for the original project, the recipient must use the equipment in connection with its other Federally sponsored activities in the following order of priority: (1) activities sponsored by the USFWS, then (2) activities sponsored by other Federal agencies.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When acquiring replacement equipment, the recipient may use the equipment to be replaced as trade-in or sell the equipment and use the proceeds to offset the costs of the replacement equipment subject to the approval of the USFWS.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When the recipient no longer needs the equipment, the equipment may be used for other activities in accordance with the following standards.  For equipment with a current per unit fair market value of $5,000 or more, the recipient may retain the equipment for other uses provided that compensation is made to USFWS.  The amount of compensation will be computed by applying the percentage of Federal participation in the cost of the original project to the current market value of the equipment.  If the recipient has no need for the equipment, the recipient must request disposition instructions from the USFWS.  The USFWS must determine whether the equipment can be used to meet its requirements.  If no requirement exists within the USFWS, it must report the availability of the equipment to the General Services Administration to determine whether a requirement for the equipment exists in other Federal agencies.  The USFWS must issue instructions to the recipient no later than 120 calendar days after the recipient’s request and the following procedures will govern: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If so instructed or if disposition instructions are not issued within 120 calendar days after the recipient’s request, the recipient must sell the equipment and reimburse the USFWS an amount computed by applying to the sales proceeds the percentage of Federal participation in the cost of the original project.  However, the recipient must be permitted to deduct and retain from the Federal share $500 or 10 percent of the proceeds, whichever is less, for the recipient’s selling and handling expenses.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If the recipient is instructed to ship the equipment elsewhere, the recipient must be reimbursed by the Federal Government by an amount which is computed by applying the percentage of the recipient’s participation in the cost of the original project to the current market value of the equipment, plus any reasonable shipping or interim storage costs incurred.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If the recipient is instructed to otherwise dispose of the equipment, the recipient will be reimbursed by the Federal awarding agency for such costs incurred in its disposition.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The USFWS may reserve the right to transfer title to the Federal Government or a third party of its choosing when such a third party is otherwise eligible under existing statutes.  Such transfers are subject to the following standards: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equipment must be appropriately identified in the grant or otherwise made known to the recipient in writing.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 xml:space="preserve">(b) The Federal awarding agency must issue disposition instructions within 120 calendar days after receipt of a final inventory.  The final inventory must list all equipment acquired with Federal funds.  If the USFWS fails to issue disposition instructions within the 120-day-calendar period, the recipient must follow the procedure described in item (a) of the preceding paragraph.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12.72 and 43 CFR 12.934 govern the replacement and disposal of unneeded equipment acquired under a grant or cooperative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Note that 43 CFR 12.72(e)(2) uses the term “share” in stipulating the method of calculating the amount due the awarding agency when equipment is retained or sold  [as does 43 CFR 12.73 for supplies] .  The definition of “share” in 43 CFR 12.43 excludes the value of third-party in-kind contributions.  This is inconsistent with the method of calculating the awarding agency’s share for the disposal of equipment under 43 CFR 12.934, the method of calculating the awarding agency’s share in the disposal of real property in 43 CFR 12.71, and the method of calculating the amount to pay the grantee in 43 CFR 12.72(g)(3) when the title to equipment is transferred.  The word “share” is not used in any of those provisions. [The disposal of real property under 43 CFR 12.71 and the transfer of equipment under 43 CFR 12.72(g)(3) is also inconsistent with all other disposal calculations because the method is based on the cost of the original purchase instead of being based on the total costs under the grant.]  Upon the informal advice of the Department of the Interior’s Solicitor’s Office, the method of calculating the awarding agency’s share for the disposal of real property, equipment, and supplies </w:t>
      </w:r>
      <w:r>
        <w:rPr>
          <w:rFonts w:ascii="Times New Roman" w:hAnsi="Times New Roman" w:cs="Times New Roman"/>
          <w:sz w:val="16"/>
          <w:szCs w:val="16"/>
        </w:rPr>
        <w:lastRenderedPageBreak/>
        <w:t xml:space="preserve">that is used in 43 CFR, part 12, subpart F, is the one that is most  reasonable.  Thus the method of calculation used in 43 CFR, part 12, subpart F,  for disposal of real property, equipment, and supplies will be applied to all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G-4.   What are the rules on disposal of supplies and other expendable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provisions of this section will apply to all supplies and other expendable property purchased with Federal grant or matching dollars or received as a matching in-kind donation.  Title to such supplies and other expendable property will vest in the recipient or subrecipient upon acquisition.  If there is a residual inventory of unused supplies exceeding $5,000 in total aggregate value upon termination or completion of the project and the supplies are not needed for any other federally sponsored project or program, the recipient or subrecipient will retain the supplies for use on non-federally sponsored activities or sell them, but must, in either case, compensate the Federal government for its share.  The amount of compensation must be computed in the same manner as for equipment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sz w:val="16"/>
          <w:szCs w:val="16"/>
        </w:rPr>
        <w:t>43 CFR 12.73 and 43 CFR 12.935 govern the disposal of unused supplies acquired under a grant or cooperative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Note that 43 CFR 12.73 uses the term “share” in stipulating the method of calculating the amount due the awarding agency when supplies are not needed for any other federally sponsored program  [as does  43 CFR 12.72(e)(2) for equipment] .  The definition of “share” in 43 CFR 12.43 excludes the value of third-party in-kind contributions.  This is inconsistent with the method of calculating the awarding agency’s share for the disposal of equipment under 43 CFR 12.934, the method of calculating the awarding agency’s share in the disposal of real property in 43 CFR 12.71, and the method of calculating the amount to pay the grantee in 43 CFR 12.72(g)(3) when the title to equipment is transferred.  The word “share” is not used in any of those provisions. [The disposal of real property under 43 CFR 12.71 and the transfer of equipment under 43 CFR 12.72(g)(3) is also inconsistent with all other disposal calculations because the method is based on the cost of the original purchase instead of being based on the total costs under the grant.]  Upon the informal advice of the Department of the Interior’s Solicitor’s Office, the method of calculating the awarding agency’s share for the disposal of real property, equipment, and supplies that is used in 43 CFR, part 12, subpart F, is the one that is most  reasonable.  A formal Solicitor’s Opinion has been requested, but meanwhile, the method of calculation used in 43 CFR, part 12, subpart F,  for disposal of real property, equipment, and supplies will be applied to all recipients.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H.   HABITAT RESTORATION &amp; ENHANCEMENT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H-1.   How long do I have to manage restored or enhanced habitat or created wetlands for the project purposes?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Sakkal Majalla" w:hAnsi="Sakkal Majalla" w:cs="Sakkal Majalla"/>
          <w:sz w:val="20"/>
          <w:szCs w:val="20"/>
        </w:rPr>
        <w:t>Normally a recipient or subrecipient must manage restored or enhanced habitat, or created wetlands, for 25 years from the date that the grant officer received acceptable final performance and financial reports.  This period may be shorter than 25 years if limited by easements, leases, other legal instruments, or special considerations described in the proposal or approved by the grant officer.  The period may be longer or shorter than 25 years if the recipient proposed the restoration, enhancement, or created wetlands in the original application as having benefits for a period other than 25 years.  During the required management period, a recipient or subrecipient must ensure that any habitat restored or enhanced in the project (including habitat restored or enhanced with matching funds or as a matching in-kind contribution) is available for site-inspection by the USFWS or its designee to ensure that it is managed for the purposes of NAWCA and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NAWCA Grants Program selected 25 years in the early years of the program as the period for which restored, enhanced, or created habitat must be managed.  The rationale for this length of time was that it was the estimated life span of a coated steel water control structure in many areas of the U.S.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H-2.</w:t>
      </w:r>
      <w:r>
        <w:rPr>
          <w:rFonts w:ascii="Times New Roman" w:hAnsi="Times New Roman" w:cs="Times New Roman"/>
          <w:sz w:val="20"/>
          <w:szCs w:val="20"/>
        </w:rPr>
        <w:t xml:space="preserve">   </w:t>
      </w:r>
      <w:r>
        <w:rPr>
          <w:rFonts w:ascii="Times New Roman" w:hAnsi="Times New Roman" w:cs="Times New Roman"/>
          <w:b/>
          <w:bCs/>
          <w:sz w:val="20"/>
          <w:szCs w:val="20"/>
        </w:rPr>
        <w:t>What if I stop managing restored or enhanced habitat or created wetlands for project purposes?</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or subrecipient must ensure that any habitat restored or enhanced is managed for the purposes of NAWCA and for the purposes of the project.  If the recipient or subrecipient does not ensure that such habitat is managed for the purposes of NAWCA and the project, it must pay USFWS for that percentage of the current fair market value of the original habitat restoration, enhancement, or creation attributable to the Federal participation in the project.  A recipient or subrecipient must determine the current fair market value by obtaining at the recipient’s or subrecipient’s expense an appraisal completed according to nationally recognized appraisal standards and subject to USFWS’s review and approval.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Blacks Law Dictionary, 7</w:t>
      </w:r>
      <w:r>
        <w:rPr>
          <w:rFonts w:ascii="Times New Roman" w:hAnsi="Times New Roman" w:cs="Times New Roman"/>
          <w:sz w:val="16"/>
          <w:szCs w:val="16"/>
          <w:vertAlign w:val="superscript"/>
        </w:rPr>
        <w:t>th</w:t>
      </w:r>
      <w:r>
        <w:rPr>
          <w:rFonts w:ascii="Times New Roman" w:hAnsi="Times New Roman" w:cs="Times New Roman"/>
          <w:sz w:val="16"/>
          <w:szCs w:val="16"/>
        </w:rPr>
        <w:t xml:space="preserve"> edition, 1999, defines real property as: “Land and anything growing on, attached to, or erected on it, excluding anything that may be severed without injury to the land.”  It defines appurtenance as “Something that belongs or is attached to something else &lt;the garden is an appurtenance to the land&gt;.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USFWS’s Service Manual addresses the issue of timber and grass are part of real property in 522 FW 6.7D: “Minerals, oil, gas, timber, grazing rights, and other real property are normally considered a part of the land.  These interests may be separated from the land by sale, lease, easement, or other method of transfer.  However, the separation must be compatible with the purpose(s) for which the land was acquired.  Revenue from the sale, lease, or easement may be considered program income.”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12.43 and 43 CFR 12.902 define real property as: “land, including land improvements, structures and appurtenances thereto, but excludes movable machinery and </w:t>
      </w:r>
      <w:r>
        <w:rPr>
          <w:rFonts w:ascii="Times New Roman" w:hAnsi="Times New Roman" w:cs="Times New Roman"/>
          <w:sz w:val="16"/>
          <w:szCs w:val="16"/>
        </w:rPr>
        <w:lastRenderedPageBreak/>
        <w:t>equipment.”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above indicate that water control structures, dikes, nesting structures, trees, grasses, and other plants are appurtenances to real property.  As such, they are subject to the regulations governing disposal of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43 CFR 12.71 and 43 CFR 12.932 govern the disposal of real property acquired under a grant or cooperative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Note that the disposal of real property under 43 CFR 12.71 is inconsistent with the disposal calculations in 43 CFR 12.932, 43 CFR 12.934(g), and 43 CFR 12.935(a) [all of which are in subpart F] because the method is based on the cost of the original purchase instead of being based on the total costs under the grant.  It is also inconsistent with the equipment and supplies disposal calculations, which are respectively in 43 CFR 12.72(e)(2) and 43 CFR 12.73(b) both of which use the word “share”.  43 CFR 12 43 defines “share” as being based on “the acquiring agency’s portion of the acquiring party’s total costs under the grant under the grant . . . Only costs are to be counted –  not the value of third party in-kind contributions.”  Upon the informal advice of the Department of the Interior’s Solicitor’s Office, the method of calculating the awarding agency’s share for the disposal of real property, equipment, and supplies that is used in 43 CFR, part 12, subpart F, is the one that is most  reasonable.  Thus, the method of calculation used in 43 CFR, part 12, subpart F,  for disposal of real property, equipment, and supplies will be applied to all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20"/>
          <w:szCs w:val="20"/>
        </w:rPr>
        <w:t>I.   REAL PROPERTY ACQUISITION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I-1.   What costs of acquiring real property can I pay with grant or matching funds?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Times New Roman" w:hAnsi="Times New Roman" w:cs="Times New Roman"/>
          <w:sz w:val="20"/>
          <w:szCs w:val="20"/>
        </w:rPr>
        <w:lastRenderedPageBreak/>
        <w:t>Federal grant or matching funds may be used to pay for, and matching in-kind contributions may include, the following costs of acquiring real property</w:t>
      </w:r>
      <w:r>
        <w:rPr>
          <w:rFonts w:ascii="Sakkal Majalla" w:hAnsi="Sakkal Majalla" w:cs="Sakkal Majalla"/>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fair market value of the interest in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appraisals, appraisal reviews (if obtained from a contract (fee) review appraiser), relocation expenses (if qualified and required under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 title insurance (types and extent of coverage must be in accordance with sound business practice and the rates and premiums must be reasonable under the circumstances);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(d) costs of compliance with the National Environmental Policy Act, the Endangered Species Act, and the National Historic Preservation Act;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Times New Roman" w:hAnsi="Times New Roman" w:cs="Times New Roman"/>
          <w:sz w:val="20"/>
          <w:szCs w:val="20"/>
        </w:rPr>
        <w:t xml:space="preserve">(e) recording fees, transfer taxes, documentary stamps, evidence of title, boundary surveys, legal descriptions of the real property, and similar expenses incidental to conveying the real property to the recipient or subrecipient; (The recipient or subrecipient is not required to pay costs solely required to perfect the owner’s title to the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(f) penalty costs and other charges for prepayment of any preexisting recorded mortgage entered into in good faith encumbering the real property;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(g) the pro-rata portion of any prepaid real property taxes which are allocable to the period after the grant recipient or subrecipient obtains title to the property or effective possession of it, whichever is earlier.  (Taxes for which exemptions are available are unallowable.)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Times New Roman" w:hAnsi="Times New Roman" w:cs="Times New Roman"/>
          <w:sz w:val="20"/>
          <w:szCs w:val="20"/>
        </w:rPr>
        <w:t xml:space="preserve">If a recipient, subrecipient, or match provider contractually commits to purchase real property with matching funds before USFWS receives the proposal, the rules vary depending on whether the buyer takes title to the real property before or after the USFWS receives the proposal.  </w:t>
      </w:r>
      <w:r>
        <w:rPr>
          <w:rFonts w:ascii="Sakkal Majalla" w:hAnsi="Sakkal Majalla" w:cs="Sakkal Majalla"/>
          <w:sz w:val="20"/>
          <w:szCs w:val="20"/>
        </w:rPr>
        <w:t>These rules are explained in a question and answer below entitled “What are the rules if I buy land for match before the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16"/>
          <w:szCs w:val="16"/>
        </w:rPr>
      </w:pPr>
      <w:r>
        <w:rPr>
          <w:rFonts w:ascii="Times New Roman" w:hAnsi="Times New Roman" w:cs="Times New Roman"/>
          <w:sz w:val="20"/>
          <w:szCs w:val="20"/>
        </w:rPr>
        <w:t>(</w:t>
      </w:r>
      <w:r>
        <w:rPr>
          <w:rFonts w:ascii="Times New Roman" w:hAnsi="Times New Roman" w:cs="Times New Roman"/>
          <w:sz w:val="16"/>
          <w:szCs w:val="16"/>
        </w:rPr>
        <w:t>a)</w:t>
      </w:r>
      <w:r>
        <w:rPr>
          <w:rFonts w:ascii="Times New Roman" w:hAnsi="Times New Roman" w:cs="Times New Roman"/>
          <w:sz w:val="16"/>
          <w:szCs w:val="16"/>
        </w:rPr>
        <w:tab/>
        <w:t xml:space="preserve">The Cost Principles for Educational Institutions (OMB Circular A-21, J.18.b.(1)),  The Cost Principles for State, Local, and Indian Tribal Governments (OMBCircular A-87, Attachment B, Section 15b.(1)), and The Cost Principles for Non-Profit Organizations (OMB Circular A-122, Attachment B, section 15b.(1)) state: “Capital expenditures for general purpose equipment, buildings, and land are unallowable as direct charges, except where approved in advance by the awarding agency.” (By approving the proposals for funding, the MBCC gives approval in advance for the proposed land acquisition.  Any changes or tract identification that occurs during the funding period requires the prior approval of the grant officer.)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08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16"/>
          <w:szCs w:val="16"/>
        </w:rPr>
      </w:pPr>
      <w:r>
        <w:rPr>
          <w:rFonts w:ascii="Times New Roman" w:hAnsi="Times New Roman" w:cs="Times New Roman"/>
          <w:sz w:val="16"/>
          <w:szCs w:val="16"/>
        </w:rPr>
        <w:t xml:space="preserve">If real property is acquired under the 49 CFR 24.101(a) process, and estimated to be greater than $10,000, the appraised value (as approved if an appraisal review is completed) must be used as the sole determinant of fair market value unless the recipient can conclusively demonstrate that it is not accurate.  Lower amounts may be negotiated consistent with the fact that the 49 CFR 24.101(a) acquisition process only requires that buyers inform the owner of what it believes to be fair market value of the property and does not require payment of just compensation.  This was confirmed in a letter dated May 10, 2000, by Susan Lauffer, Director of  the Office Real Estate Services, of the Department of Transportation’s Federal Highway Administration and addressed to Mr. Pat Langley, Asst, Regional Director, Division of Federal Aid, U. S. Fish and Wildlife Service.  Ms. Lauffer stated: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16"/>
          <w:szCs w:val="16"/>
        </w:rPr>
      </w:pPr>
      <w:r>
        <w:rPr>
          <w:rFonts w:ascii="Times New Roman" w:hAnsi="Times New Roman" w:cs="Times New Roman"/>
          <w:sz w:val="16"/>
          <w:szCs w:val="16"/>
        </w:rPr>
        <w:t xml:space="preserve">If the transaction meets the provisions of 49 CFR 24.101(a)(1) or (2), the attempt by the agency to acquire the property is considered voluntary, is subject to negotiation, and any resultant sale should be considered an arms length transaction.  The owner can accept or refuse an agency’s offer to purchase the property.  If the owner chooses to accept, he or she may also negotiate any sale price which is mutually acceptable to the two parties.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16"/>
          <w:szCs w:val="16"/>
        </w:rPr>
      </w:pPr>
      <w:r>
        <w:rPr>
          <w:rFonts w:ascii="Times New Roman" w:hAnsi="Times New Roman" w:cs="Times New Roman"/>
          <w:sz w:val="16"/>
          <w:szCs w:val="16"/>
        </w:rPr>
        <w:t xml:space="preserve">Ms. Lauffer also stated in the May 10, 2000, letter: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16"/>
          <w:szCs w:val="16"/>
        </w:rPr>
      </w:pPr>
      <w:r>
        <w:rPr>
          <w:rFonts w:ascii="Times New Roman" w:hAnsi="Times New Roman" w:cs="Times New Roman"/>
          <w:sz w:val="16"/>
          <w:szCs w:val="16"/>
        </w:rPr>
        <w:t xml:space="preserve">. . .  once the seller is informed of the value of his or her property in the manner discussed in Answer No. 2 above, the seller may donate all or any lesser portion of the property’s value to the acquiring agency.  The records of the acquiring agency should contain a written document from the donor indicating the property owner’s intention to make the donation and should identify the amount which is to be donated.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16"/>
          <w:szCs w:val="16"/>
        </w:rPr>
      </w:pPr>
      <w:r>
        <w:rPr>
          <w:rFonts w:ascii="Times New Roman" w:hAnsi="Times New Roman" w:cs="Times New Roman"/>
          <w:sz w:val="16"/>
          <w:szCs w:val="16"/>
        </w:rPr>
        <w:t xml:space="preserve">For real property with uncomplicated valuation problems that is acquired under the 49 CFR 24.101(a) process, and the fair market value is estimated to be $10,000 or less, the actual fair market value is determined by:  (I) an appraisal or (ii) an informal determination of market value for a specific date based on sales comparison or </w:t>
      </w:r>
      <w:r>
        <w:rPr>
          <w:rFonts w:ascii="Times New Roman" w:hAnsi="Times New Roman" w:cs="Times New Roman"/>
          <w:sz w:val="16"/>
          <w:szCs w:val="16"/>
        </w:rPr>
        <w:lastRenderedPageBreak/>
        <w:t>prior sales of the identical properties.  For real property to be acquired under the 49 CFR 24.101(a) process, if the buyer obtains an appraisal despite an estimated fair market value of less than $10,000, then the appraisal (as approved if an appraisal review is completed must be used as the sole determinant of fair market value unless the recipient can conclusively demonstrate that it is not accurate.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16"/>
          <w:szCs w:val="16"/>
        </w:rPr>
      </w:pPr>
      <w:r>
        <w:rPr>
          <w:rFonts w:ascii="Times New Roman" w:hAnsi="Times New Roman" w:cs="Times New Roman"/>
          <w:sz w:val="16"/>
          <w:szCs w:val="16"/>
        </w:rPr>
        <w:t xml:space="preserve">For real property that is acquired under the basic or standard process and estimated to be greater than $2,500, the fair market value must be the approved appraised value.  49 CFR 24.102(d), states that the amount of just compensation shall not be </w:t>
      </w:r>
      <w:r>
        <w:rPr>
          <w:rFonts w:ascii="Times New Roman" w:hAnsi="Times New Roman" w:cs="Times New Roman"/>
          <w:sz w:val="16"/>
          <w:szCs w:val="16"/>
          <w:u w:val="single"/>
        </w:rPr>
        <w:t>less than</w:t>
      </w:r>
      <w:r>
        <w:rPr>
          <w:rFonts w:ascii="Times New Roman" w:hAnsi="Times New Roman" w:cs="Times New Roman"/>
          <w:sz w:val="16"/>
          <w:szCs w:val="16"/>
        </w:rPr>
        <w:t xml:space="preserve"> the approved appraisal of the fair market value for the basic/standard acquisition process.  49 CFR 24.102(h)(1) implies that normally the amount of just compensation should not be </w:t>
      </w:r>
      <w:r>
        <w:rPr>
          <w:rFonts w:ascii="Times New Roman" w:hAnsi="Times New Roman" w:cs="Times New Roman"/>
          <w:sz w:val="16"/>
          <w:szCs w:val="16"/>
          <w:u w:val="single"/>
        </w:rPr>
        <w:t>greater than</w:t>
      </w:r>
      <w:r>
        <w:rPr>
          <w:rFonts w:ascii="Times New Roman" w:hAnsi="Times New Roman" w:cs="Times New Roman"/>
          <w:sz w:val="16"/>
          <w:szCs w:val="16"/>
        </w:rPr>
        <w:t xml:space="preserve"> the approved appraised value.  For real property with uncomplicated valuation problems that is acquired under the basic or standard process and the fair market value is estimated to be $2,500 or less, the actual fair market value is determined by:  (I) an appraisal or (ii) an informal determination of market value for a specific date based on sales comparison or prior sales of the identical properties.  For real property to be acquired under the basic or standard process,</w:t>
      </w:r>
      <w:r>
        <w:rPr>
          <w:rFonts w:ascii="Times New Roman" w:hAnsi="Times New Roman" w:cs="Times New Roman"/>
          <w:sz w:val="20"/>
          <w:szCs w:val="20"/>
        </w:rPr>
        <w:t xml:space="preserve"> </w:t>
      </w:r>
      <w:r>
        <w:rPr>
          <w:rFonts w:ascii="Times New Roman" w:hAnsi="Times New Roman" w:cs="Times New Roman"/>
          <w:sz w:val="16"/>
          <w:szCs w:val="16"/>
        </w:rPr>
        <w:t xml:space="preserve">if the buyer obtains an appraisal despite an estimated fair market value of less than $2,500, then the approved appraisal must be used as the sole determinant of fair market value unless the recipient can conclusively demonstrate that it is not accurate.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pStyle w:val="Level1"/>
        <w:numPr>
          <w:ilvl w:val="0"/>
          <w:numId w:val="20"/>
        </w:numPr>
        <w:tabs>
          <w:tab w:val="left" w:pos="-480"/>
          <w:tab w:val="left" w:pos="0"/>
          <w:tab w:val="num" w:pos="90"/>
          <w:tab w:val="left" w:pos="180"/>
          <w:tab w:val="left" w:pos="270"/>
          <w:tab w:val="left" w:pos="360"/>
          <w:tab w:val="left" w:pos="540"/>
          <w:tab w:val="left" w:pos="720"/>
          <w:tab w:val="left" w:pos="900"/>
          <w:tab w:val="left" w:pos="1080"/>
        </w:tabs>
        <w:ind w:left="90" w:hanging="90"/>
        <w:rPr>
          <w:sz w:val="20"/>
          <w:szCs w:val="20"/>
        </w:rPr>
      </w:pPr>
      <w:r>
        <w:rPr>
          <w:sz w:val="20"/>
          <w:szCs w:val="20"/>
        </w:rPr>
        <w:t>Professional service costs are allowable  in the Cost Principles for Educational Institutions (OMB Circular A-21, section J.37)., in the Cost Principles for State, Local, and Indian Tribal Governments (OMB Circular A-87, Attachment B, section 32), and in the Cost Principles for Non-Profit Organizations (OMB Circular A-122, Attachment B, section 37).</w:t>
      </w:r>
    </w:p>
    <w:p w:rsidR="001F0636" w:rsidRDefault="001F0636">
      <w:pPr>
        <w:pStyle w:val="Level1"/>
        <w:numPr>
          <w:ilvl w:val="0"/>
          <w:numId w:val="20"/>
        </w:numPr>
        <w:tabs>
          <w:tab w:val="left" w:pos="-480"/>
          <w:tab w:val="left" w:pos="0"/>
          <w:tab w:val="num" w:pos="90"/>
          <w:tab w:val="left" w:pos="180"/>
          <w:tab w:val="left" w:pos="270"/>
          <w:tab w:val="left" w:pos="360"/>
          <w:tab w:val="left" w:pos="540"/>
          <w:tab w:val="left" w:pos="720"/>
          <w:tab w:val="left" w:pos="900"/>
          <w:tab w:val="left" w:pos="1080"/>
        </w:tabs>
        <w:ind w:left="90" w:hanging="90"/>
        <w:rPr>
          <w:sz w:val="20"/>
          <w:szCs w:val="20"/>
        </w:rPr>
        <w:sectPr w:rsidR="001F0636">
          <w:type w:val="continuous"/>
          <w:pgSz w:w="12240" w:h="15840"/>
          <w:pgMar w:top="630" w:right="540" w:bottom="720" w:left="720" w:header="630" w:footer="720" w:gutter="0"/>
          <w:cols w:space="720"/>
          <w:noEndnote/>
        </w:sectPr>
      </w:pPr>
    </w:p>
    <w:p w:rsidR="001F0636" w:rsidRDefault="001F0636">
      <w:pPr>
        <w:pStyle w:val="Level1"/>
        <w:numPr>
          <w:ilvl w:val="0"/>
          <w:numId w:val="20"/>
        </w:numPr>
        <w:tabs>
          <w:tab w:val="left" w:pos="-480"/>
          <w:tab w:val="left" w:pos="0"/>
          <w:tab w:val="num" w:pos="90"/>
          <w:tab w:val="left" w:pos="180"/>
          <w:tab w:val="left" w:pos="270"/>
          <w:tab w:val="left" w:pos="360"/>
          <w:tab w:val="left" w:pos="540"/>
          <w:tab w:val="left" w:pos="720"/>
          <w:tab w:val="left" w:pos="900"/>
          <w:tab w:val="left" w:pos="1080"/>
        </w:tabs>
        <w:ind w:left="90" w:hanging="90"/>
        <w:rPr>
          <w:sz w:val="20"/>
          <w:szCs w:val="20"/>
        </w:rPr>
      </w:pPr>
      <w:r>
        <w:rPr>
          <w:sz w:val="20"/>
          <w:szCs w:val="20"/>
        </w:rPr>
        <w:lastRenderedPageBreak/>
        <w:t>Insurance costs, as described above in ©), are allowable in the Cost Principles for Educational Institutions (OMB Circular A-21, J.25a.&amp;b.(1)), the Cost Principles for State, Local, and Indian Tribal Governments (OMB Circular A-87, Attachment B, section 22.a.&amp;b.(1)), and the Cost Principles for Non-Profit Organizations (OMB Circular A-122, Attachment B, section 22.a.(1)&amp;(2)(a)).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sz w:val="20"/>
          <w:szCs w:val="20"/>
        </w:rPr>
      </w:pPr>
      <w:r>
        <w:rPr>
          <w:sz w:val="20"/>
          <w:szCs w:val="20"/>
        </w:rPr>
        <w:t xml:space="preserve">(d) </w:t>
      </w:r>
      <w:r>
        <w:rPr>
          <w:sz w:val="20"/>
          <w:szCs w:val="20"/>
        </w:rPr>
        <w:tab/>
        <w:t xml:space="preserve">Professional service costs are allowable in the Cost Principles for Educational Institutions (OMB Circular A-21, section J.37.), the Cost Principles for State, Local, and Indian Tribal Governments (OMB Circular A-87, Attachment B, section 32), and in the Cost Principles for Non-Profit Organizations (OMB Circular A-122, Attachment B, section 37).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sz w:val="20"/>
          <w:szCs w:val="20"/>
        </w:rPr>
      </w:pPr>
      <w:r>
        <w:rPr>
          <w:sz w:val="20"/>
          <w:szCs w:val="20"/>
        </w:rPr>
        <w:t xml:space="preserve">(e) </w:t>
      </w:r>
      <w:r>
        <w:rPr>
          <w:sz w:val="20"/>
          <w:szCs w:val="20"/>
        </w:rPr>
        <w:tab/>
        <w:t>These costs are required to be paid by the recipient at 49 CFR 24.106(a)(1).</w:t>
      </w:r>
    </w:p>
    <w:p w:rsidR="001F0636" w:rsidRDefault="001F0636">
      <w:pPr>
        <w:pStyle w:val="Level1"/>
        <w:numPr>
          <w:ilvl w:val="0"/>
          <w:numId w:val="21"/>
        </w:numPr>
        <w:tabs>
          <w:tab w:val="left" w:pos="-480"/>
          <w:tab w:val="left" w:pos="0"/>
          <w:tab w:val="num" w:pos="90"/>
          <w:tab w:val="left" w:pos="180"/>
          <w:tab w:val="left" w:pos="270"/>
          <w:tab w:val="left" w:pos="360"/>
          <w:tab w:val="left" w:pos="540"/>
          <w:tab w:val="left" w:pos="720"/>
          <w:tab w:val="left" w:pos="900"/>
          <w:tab w:val="left" w:pos="1080"/>
        </w:tabs>
        <w:ind w:left="90" w:hanging="90"/>
        <w:rPr>
          <w:sz w:val="20"/>
          <w:szCs w:val="20"/>
        </w:rPr>
      </w:pPr>
      <w:r>
        <w:rPr>
          <w:sz w:val="20"/>
          <w:szCs w:val="20"/>
        </w:rPr>
        <w:t>These costs are required to be paid by the recipient at 49 CFR 24.106(a)(2).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sz w:val="20"/>
          <w:szCs w:val="20"/>
        </w:rPr>
        <w:t xml:space="preserve">(g) </w:t>
      </w:r>
      <w:r>
        <w:rPr>
          <w:sz w:val="20"/>
          <w:szCs w:val="20"/>
        </w:rPr>
        <w:tab/>
        <w:t xml:space="preserve">These costs are required to be paid by the recipient at 49 CFR 24.106(a)(3).  </w:t>
      </w:r>
      <w:r>
        <w:rPr>
          <w:rFonts w:ascii="Sakkal Majalla" w:hAnsi="Sakkal Majalla" w:cs="Sakkal Majalla"/>
          <w:sz w:val="16"/>
          <w:szCs w:val="16"/>
        </w:rPr>
        <w:t xml:space="preserve">Taxes for which exemptions are available </w:t>
      </w:r>
      <w:r>
        <w:rPr>
          <w:rFonts w:ascii="Times New Roman" w:hAnsi="Times New Roman" w:cs="Times New Roman"/>
          <w:sz w:val="16"/>
          <w:szCs w:val="16"/>
        </w:rPr>
        <w:t>are unallowable as a result of the Cost Principles for Educational Institutions OMB (Circular A-21,section  J.49.a.(1))., the Cost Principles for State, Local, and Indian Tribal Governments (OMB Circular A-87, Attachment B, section 40.a.), and the Cost Principles for Non-Profit Organizations (OMB Circular A-122, Attachment B, section 47.a.).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I-2.   What are the legal prerequisites for acquiring land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legal prerequisites for acquiring land in a NAWCA project are: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The Secretary of the Interior (or his or her designee) must make a finding that the real property interests should not be included in the National Wildlife Refuge System.  The recipient, by submitting a request through the grant officer, must obtain an additional such finding if a tract not included in the proposal is targeted for acquisition.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(b) NAWCA proposals must be evaluated in accordance with the requirements of the National Environmental Policy Act and the Endangered Species Act.  Normally, this is accomplished by biologists in USFWS Regional Offices.  If a tract is targeted for acquisition after the proposal was submitted, USFWS Regional biologists must evaluate the proposed acquisition and document that it is in compliance with both statutes.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The USFWS Regional Historic Preservation Officers (RHPO) for the Region where the project is located must consult with the responsible State Historic Preservation Officer (SHPO) at the beginning of the project to determine if the proposal as a whole is a type of activity to cause effects on historic properties.  Unless the RHPO and SHPO grant a categorical exclusion for the project as a whole, this consultation must occur each time a tract not included in the proposal is targeted for acquisition.  Under the NAWCA Grants Program, match providers may acquire real property for a proposed project as far back as two years before the beginning of the year in which USFWS receives the proposal.  All matching cash obligated before the USFWS receives the proposal is considered a matching in-kind contribution.  Matching in-kind contributions acquired or performed before the USFWS receives a proposal are not subject to Section 106, of the National Historic Preservation Act, as implemented in 36 CFR, part 800.  However, as a matter of policy, if the recipient, subrecipient, or match provider has willfully disturbed or allowed the disturbance of a site, the USFWS may disallow the use of that property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b/>
          <w:bCs/>
          <w:sz w:val="20"/>
          <w:szCs w:val="20"/>
        </w:rPr>
      </w:pPr>
      <w:r>
        <w:rPr>
          <w:rFonts w:ascii="Times New Roman" w:hAnsi="Times New Roman" w:cs="Times New Roman"/>
          <w:sz w:val="20"/>
          <w:szCs w:val="20"/>
        </w:rPr>
        <w:t>(d) If any real property to be acquired under a NAWCA grant will be included in the National Wildlife Refuge System, it must be tested for contaminants.  This is normally accomplished by personnel in an appropriate USFWS Regional or field office.  A contaminants survey must be completed each time a tract not included in the proposal is targeted for acquisition and inclusion in the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This is required by NAWCA, Section 6.(a)(3).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(b) NAWCA, Section 5.(b) states: “Solely for the purpose of the National Environmental Policy Act of 1969 (42U.S.C. 4321 et seq.), recommendations by the Council for </w:t>
      </w:r>
      <w:r>
        <w:rPr>
          <w:rFonts w:ascii="Times New Roman" w:hAnsi="Times New Roman" w:cs="Times New Roman"/>
          <w:sz w:val="16"/>
          <w:szCs w:val="16"/>
        </w:rPr>
        <w:lastRenderedPageBreak/>
        <w:t>carrying out wetlands conservation projects under 4405(a) of this title shall be considered Federal actions requiring the preparation of environmental assessments or, where appropriate, environmental impact statements.”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36 CFR 800.3, </w:t>
      </w:r>
      <w:r>
        <w:rPr>
          <w:rFonts w:ascii="Times New Roman" w:hAnsi="Times New Roman" w:cs="Times New Roman"/>
          <w:sz w:val="16"/>
          <w:szCs w:val="16"/>
          <w:u w:val="single"/>
        </w:rPr>
        <w:t>Initiation of the section 106 process.</w:t>
      </w:r>
      <w:r>
        <w:rPr>
          <w:rFonts w:ascii="Times New Roman" w:hAnsi="Times New Roman" w:cs="Times New Roman"/>
          <w:sz w:val="16"/>
          <w:szCs w:val="16"/>
        </w:rPr>
        <w:t xml:space="preserve">, states: “The agency official shall determine whether the proposed Federal action is an undertaking as defined in § 800.16(y) and if so, whether it is a type of activity that has the potential to cause effects on historic properties.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36 CFR 800.16(y) states: </w:t>
      </w:r>
      <w:r>
        <w:rPr>
          <w:rFonts w:ascii="Times New Roman" w:hAnsi="Times New Roman" w:cs="Times New Roman"/>
          <w:i/>
          <w:iCs/>
          <w:sz w:val="16"/>
          <w:szCs w:val="16"/>
        </w:rPr>
        <w:t>Undertaking</w:t>
      </w:r>
      <w:r>
        <w:rPr>
          <w:rFonts w:ascii="Times New Roman" w:hAnsi="Times New Roman" w:cs="Times New Roman"/>
          <w:sz w:val="16"/>
          <w:szCs w:val="16"/>
        </w:rPr>
        <w:t xml:space="preserve"> means a project, activity, or program funded in whole or in part under the direct or indirect jurisdiction of a Federal agency; those carried out with Federal financial assistance; those requiring a Federal permit, license or approval; and those subject to State or local regulation administered pursuant to a delegation or approval by a Federal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 This is the policy of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I-3.   What are some of the important dates to keep in mind when acquiring land?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Some of the important dates to keep in mind when acquiring land under a NAWCA grant are: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date of value of an appraisal must not precede the Statement of Just Compensation (if any), a contractual commitment (if any) to buy the real property (i.e., purchase agreement, exercised option), or actual conveyance of the property, by more than 12 months.  For a matching in-kind contribution, the date of the appraisal must not precede the date of donation to the recipient or subrecipient by more than 12 months.  The date of donation will be the date of a valid contractual commitment to donate the real property to the recipient or subrecipient for use on the NAWCA project.  The letter of matching commitment will be accepted as such contractual commitment.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(b) Those who acquire real property for use as a matching in-kind contribution must take title no earlier than two years before the beginning of the year in which USFWS receives the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Match providers who acquire real property for use as a matching in-kind contributions must close on the acquisition before USFWS receives the proposal or all the requirements of 49 CFR, part 24, will apply, even to those phases of the acquisition that have already been completed.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(d) Recipients and subrecipients who will be using grant funds or matching cash to purchase real property must contractually commit to the purchase no earlier than the day on which USFWS receives the proposal and no later than the last day of the funding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(e) All conveyances of real property must be finalized, all obligations must be liquidated, and all required real property acquisition documentation must be submitted no later than the submission of the final performance report and the final Report of Federal Cash Transactions (SF 272).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(a)  The 12-month period during which an appraisal remains valid is based on USFWS Director’s Order No. 112 as amended on June 28, 2002  “Requirements for Reviewing, Approving and Updating Appraisals”.  Statements of Just Compensation (SJC) must be based on appraisals that reflect current market values and are not more than 12 months old from the date of value.  Validate or  update appraisals at the time of the issuance or any reissuance of the SJC.”  The valuation of a matching in-kind contribution is governed by 43 CFR 12.64(e)(1), and 43 CFR 12.923©), and 43 CFR 12.923(h)(1).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(b) This is based on NAWCA, United States Standard Grant Proposal, 2003 Eligibility Criteria &amp; Processes, Eligible Match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The requirements of 49 CFR, part 24, subpart B, “apply to any acquisition of real property for a Federal program or project, and to programs or projects where there is Federal financial assistance in any part of project costs. . .”  The USFWS’s receipt of the project proposal that includes the matching in-kind contribution is a clear indication of the buyer’s intention to acquire the property for federally assisted project.  A Department of the Interior Solicitor’s Office attorney informally advised that any land fully acquired as match  (i.e., has gone to closing) before the award is not subject to 49 CFR, part 24, but the NAWCA Grant Program may extend the applicability of 49 CFR, part 24, by policy.  Accordingly, the NAWCA Grant Program has made 49 CFR, part 24, applicable to all acquisitions that have not gone to closing by the date that the USFWS receives the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(d)  The date that USFWS receives the proposal was selected as the earliest date for acceptance of pre-agreement costs by the North American Wetlands Conservation Council in December 2000.</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(e) 43 CFR 12.90(b) states: “Within 90 days after the termination of the grant, the grantee must submit all financial, performance, and other reports required as a condition of the grant.”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12.971(b) states: “Unless the Federal awarding agency authorizes an extension, a recipient shall liquidate all obligations incurred under the award not later than 90 calendar days after the funding period or the date of completion as specified in the terms and conditions of the award or in agency implementing instructions.”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I-4.   How do options, purchase agreements, and deeds differ?</w:t>
      </w:r>
    </w:p>
    <w:p w:rsidR="001F0636" w:rsidRDefault="001F0636">
      <w:pPr>
        <w:tabs>
          <w:tab w:val="center" w:pos="5490"/>
        </w:tabs>
        <w:rPr>
          <w:rFonts w:ascii="Times New Roman" w:hAnsi="Times New Roman" w:cs="Times New Roman"/>
          <w:sz w:val="20"/>
          <w:szCs w:val="20"/>
        </w:rPr>
      </w:pP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An option is a legal contract, typically purchased for a stated consideration, to keep open, for a set period, an offer to sell or lease real property.  An option can be used to give the buyer time to resolve questions of financing before committing the buyer to purchase.  An option merely creates a contractual right.  It does not give the holder of the option any estate in the property.  At the time the option is signed, the owner does not sell, nor does the buyer purchase the property.  Although the owner is obligated to sell if given </w:t>
      </w:r>
      <w:r>
        <w:rPr>
          <w:rFonts w:ascii="Times New Roman" w:hAnsi="Times New Roman" w:cs="Times New Roman"/>
          <w:sz w:val="20"/>
          <w:szCs w:val="20"/>
        </w:rPr>
        <w:lastRenderedPageBreak/>
        <w:t>notice by the buyer, the buyer is not obligated to purchase.  An option must contain all of the essential terms of the underlying contract of sale.  This means that a binding contract is created immediately upon the holder of the option’s decision to exercise the option.  Often a copy of the proposed purchase agreement is attached and incorporated by reference.  Anyone entering into an option agreement for the purchase of real property under a NAWCA grant may not pay more than $1.00 as a consideration for such option.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purchase agreement is a contract to convey real property for a certain price.  It serves as the vehicle to get to the deed, which finally conveys title.  It is a blueprint for the entire transaction.  Once the purchase agreement is signed, the remainder of the transaction is primarily mechanical.  A purchase agreement is also known as a contract of sale, sales contract, deposit receipt, offer and acceptance, agreement of sale, offer to lease or purchase, or sale agreement.  An exercised option is tantamount to a purchase agreement and the option agreement may even prescribe that the buyer and seller enter into a purchase agreement as the means of exercising the option.  Purchase agreements may provide for periods of due diligence during which the buyer may withdraw from the contractual obligation if he or she finds any of the specified objectionable conditions, but the costs would have been incurred on the date that the purchase agreement was signed by all parties, not at the end of the period of due diligence.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deed is a written instrument by which a property owner as “grantor” conveys and transfers to a “grantee” an ownership interest in real property.  There are many types of deeds with the major difference being the type of covenant made by the grantor.  Perhaps the most commonly used deed is the general warranty deed.  To be valid, a deed must contain the following elements: (a) grantor; (b) grantee; ©) a consideration [this distinguishes a contractual obligation from a gift and is usually something of value such as the actual purchase price although it may also be a nominal amount as in “for $10 and other good and valuable consideration.”]; (d) words of conveyance; (e) legal description; (f) signature; and (g) delivery of the deed (but under the Torrens system that has been adopted by about 10 States, it is the registration of the deed and not the act of delivery that conveys title.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lastRenderedPageBreak/>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Department of the Interior and Related Agencies Appropriations Acts of 1996 -2004 and the bills reported in House and Senate for Department of the Interior and Related Agencies Appropriations Act of 2005 directed that funds available to USFWS for options for the purchase of land must not exceed $1 for each option.</w:t>
      </w:r>
      <w:r>
        <w:rPr>
          <w:rFonts w:ascii="Times New Roman" w:hAnsi="Times New Roman" w:cs="Times New Roman"/>
          <w:sz w:val="18"/>
          <w:szCs w:val="18"/>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definitions of option, purchase agreement, and deed rely heavily on the definitions in The Language of Real Estate by John W. Reilly, Real Estate Education Company, Dearborn Financial Publishing, 1993.  The definition of option also relies, in part, on the Dictionary of Real Estate Appraisal edited by Stephanie Shea-Joyce, Appraisal Institute, 1993.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I-5.   What are the rules if I buy land for match before the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If a recipient, subrecipient, or match provider contractually commits to purchase real property with matching funds before USFWS receives the proposal, the rules vary depending on whether the buyer takes title to the real property before or after the USFWS receives the proposal.  If the buyer takes title before USFWS receives the proposal items (a) through (h), (l), and (m) below apply.  If the buyer takes title after USFWS receives the proposal, items (a) and ©) through (m) below apply.  If a recipient, subrecipient, or match provider  contractually commits to the purchase of land with matching funds and takes title before the USFWS receives the proposal, such interest in real property will be considered to be a matching in-kind contribution regardless of how it is described in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All real property sales transactions under a NAWCA-funded project must be from willing sellers.  Condemnation proceedings may be used only when necessary to assist in determining the legal owner.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If the buyer takes title to the land more than two years before the beginning of the year in which the USFWS receives the proposal, it is not eligible as a matching in-kind contribution.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If the market value is estimated to be less than $10,000 based on a review of available data and the valuation problem is uncomplicated, the purchase price of the real property must not exceed the market value as determined by (I) an appraisal or (ii) an informal determination of market value for a specific date based on sales comparison or prior sales of the identical properties or (iii) any administrative valuation formula that may be authorized for specific categories of properties by law, regulation, or USFWS policy as is currently the case for acquisition of minimally restrictive wetland and grassland easements in the Prairie Pothole Region.  If the buyer obtains an appraisal even though the fair market value is $10,000 or less, and the valuation problem is uncomplicated, it must be used as the sole determinant of fair market value unless the recipient can conclusively demonstrate that it is not accurate.  If the market value is estimated to be more than $10,000 or if the valuation problem is complicated, based on a review of available data, the purchase price of the real property must not exceed the market value as determined by (a) an appraisal or (b) any administrative valuation formula that may be authorized for specific categories of property by law, regulation, or USFWS policy, as is currently the case for minimally restrictive wetland and grassland easements in the Prairie Pothole Region.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(d) The grant officer may require the recipient to submit additional documentation if he or she finds any informal determination of market value to be insufficient or if the grants officer does not concur with the analysis and conclusions.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(e) The effective date of the value estimate of (a) an appraisal, (b) any informal determination of value, or ©) any determination of market value based on an administrative valuation formula authorized by law, regulation or USFWS policy should not precede the date of the donation to the recipient or subrecipient by more than 12 months.  USFWS may require the recipient to secure an updated value estimate if a material change occurs in the local real estate market or in the character or condition of the property or its </w:t>
      </w:r>
      <w:r>
        <w:rPr>
          <w:rFonts w:ascii="Times New Roman" w:hAnsi="Times New Roman" w:cs="Times New Roman"/>
          <w:sz w:val="20"/>
          <w:szCs w:val="20"/>
        </w:rPr>
        <w:lastRenderedPageBreak/>
        <w:t>surroundings between the effective date of the value estimate of the appraisal and the date of the donation to the recipient or subrecipient.  The date of donation is the date of a valid contractual commitment to donate the real property to the recipient or subrecipient for use on the NAWCA project.  The letter of matching commitment will be accepted as such contractual commitment.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(f) If an appraisal is used to determine value, the appraised value  must be certified by a responsible official of the recipient and conform to the Uniform Appraisal Standards of Federal Land Acquisition.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(g) If a contract (fee) appraisal is used to determine value, the appraiser must be State-certified.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(h) If an appraisal is used to determine value, recipients are encouraged to have the appraisal reviewed by a USFWS review appraiser or a State-employed or contract (fee) review appraiser who has been approved by the USFWS review appraiser in the appropriate USFWS Regional Office.  Regardless of whether the recipient requests the services of a review appraiser, USFWS and its review appraisers reserve the right to review any or all appraisals for federally assisted land acquisition.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8640" w:hanging="8370"/>
        <w:rPr>
          <w:rFonts w:ascii="Times New Roman" w:hAnsi="Times New Roman" w:cs="Times New Roman"/>
          <w:sz w:val="20"/>
          <w:szCs w:val="20"/>
        </w:rPr>
      </w:pPr>
      <w:r>
        <w:rPr>
          <w:rFonts w:ascii="Times New Roman" w:hAnsi="Times New Roman" w:cs="Times New Roman"/>
          <w:sz w:val="20"/>
          <w:szCs w:val="20"/>
        </w:rPr>
        <w:t xml:space="preserve">(I) If a real property acquisition will close after USFWS receives the proposal, and if the buyer does not have the authority to acquire property by eminent domain, the recipient must ensure that a notice be sent to the owner prior to making an offer as soon as feasible after the real property is identified for possible acquisition.  The notice must –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(1) clearly advise the owner that it will be unable to acquire the property in the event negotiations fail to result in an amicable agreement [i.e., the buyer does not have condemnation (or eminent domain)authority],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(2) informs the seller of what the buyer believes to be the fair market value of the property, (If the recipient is required to secure an appraisal under the provisions of I-5©) above, that appraisal must be used as the sole determinant of fair market value.)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recipient must insure that the buyer has the notice personally served or sent to the owner by certified or registered first-class mail, return receipt requested, and must document it in the buyer’s files.  If the landowner is not advised of (I)(1) and (I)(2) above, the acquisition will not qualify for the exception process and the buyer will have to pay any relocation benefits for which the landowner is eligible and any qualifying expenses incidental to transfer.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4320" w:hanging="4050"/>
        <w:rPr>
          <w:rFonts w:ascii="Times New Roman" w:hAnsi="Times New Roman" w:cs="Times New Roman"/>
          <w:sz w:val="20"/>
          <w:szCs w:val="20"/>
        </w:rPr>
      </w:pPr>
      <w:r>
        <w:rPr>
          <w:rFonts w:ascii="Times New Roman" w:hAnsi="Times New Roman" w:cs="Times New Roman"/>
          <w:sz w:val="20"/>
          <w:szCs w:val="20"/>
        </w:rPr>
        <w:lastRenderedPageBreak/>
        <w:t>If the buyer is an agency that has eminent domain authority, but the acquisition is nonetheless voluntary, then two additional conditions must be satisfied to qualify for the exception process.  These are: (I) no specific site or property needs to be acquired, although the agency may limit its search for alternative sites to a general geographic area (where an agency wishes to purchase more than one site within a geographic area on this basis, all owners are to be treated similarly); and (ii) the property to be acquired is not part of an intended, planned, or designated project area where all or substantially all of the property within the area is to be acquired within specific time limits.</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(j) If the title will transfer after the USFWS receives the proposal, the buyer must obtain a letter or a signed statement from a seller that donates any difference between the fair market value and the selling price;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(k) If tenants reside on real property for which a buyer will acquire title after USFWS receives the proposal, or own improvements on the same, or have personal property that needs to be relocated from the same, the recipient must ensure that the buyer provides relocation assistance advice, a notice of relocation eligibility, and relocation assistance to displaced tenant(s) as required in 49 CFR, part 24.  The recipient must insure that the notice of relocation eligibility to displaced tenant(s) is personally served or sent by certified or registered first-class mail, return receipt requested, and that it is documented in the buyer’s files.  The buyer must write the notice in plain and understandable language.  The buyer must provide persons who are unable to read and understand the notice with appropriate translation and counseling.  The notice must indicate the name and telephone number of a person who may be contacted for answers to questions or other needed help.  Relocation assistance for tenants is not required if the property will be acquired subject to the rights of tenants, i.e., the leases will not be terminated before their stated expiration dates.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(l) Regardless of whether it is required by the applicable State, Commonwealth, or Territory, the recipient must ensure that all deeds, easements with a term 10 years or longer, and assignments of leases with a term 10 years or longer are recorded in the county recorder’s office, which is also known as the registrar of deeds office, the commissioner of deeds office, the county registrar’s office, or the bureau of conveyances.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(m) The recipient must ensure that Notices of Property Restriction are recorded for all interests in real property acquired in perpetuity or for terms (periods) longer than 10 years unless equivalent provisions were entered in the deed, easement, or assignment of lease.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An explanation of the authorities and the reasoning behind the policies in I-3 are explained below with the letters referring to the sections of I-3.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(a) The Merchant Marine and Fisheries Committee of the U.S. House of Representatives included the following statement on page 13 of the legislative report accompanying NAWCA (Report 101-269, dated October 5, 1989): “It is the intent of the Committee that in the acquisition of lands authorized by this legislation, the FWS should continue its present land acquisition policy.  Under the policy, the Service uses condemnation proceedings only when necessary to assist in the determination of the legal owner, settle a difference of opinion about value, or prevent uses which would cause irreparable damage to wildlife resources.  The Committee expects that lands acquired under this legislation will typically be from willing sellers.”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Committee on Environment and Public Works of the U.S. Senate included the following statement on page 5 of the legislative report accompanying NAWCA (Report 101-161, dated October 5, 1989): “In the acquisition of lands authorized by this legislation, the Fish and Wildlife Service should continue its present land acquisition policy of obtaining lands or waters or interests therein from willing sellers or donors.  The definition of “wetlands conservation project” is not intended to preclude the Service from using condemnation proceedings in cases in which its use would assist in the determination of the legal owner.”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North American Wetlands Conservation Council indicated informally in its December 2000 meeting in Washington, D.C. that only lands from willing sellers should be acquired under NAWCA.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policy allows condemnation proceedings only when necessary to assist in determining the legal owner.  This was explicitly permitted in  both NAWCA legislative reports and is consistent with the Council’s informally expressed views in December 2000.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(b) The source of the two-year time limit is a policy decision of the North American Wetlands Conservation Council.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In those situations where a matching in-kind contribution is fully acquired ( i.e., conveyed to the buyer) before USFWS receives the proposal, the NAWCA Grant Program’s appraisal requirement has its origin in 43 CFR, part 12, and the associated Federal Cost Principles.  43 CFR 12.923(h)(1) </w:t>
      </w:r>
      <w:r>
        <w:rPr>
          <w:rFonts w:ascii="Times New Roman" w:hAnsi="Times New Roman" w:cs="Times New Roman"/>
          <w:sz w:val="16"/>
          <w:szCs w:val="16"/>
          <w:u w:val="single"/>
        </w:rPr>
        <w:t>requires</w:t>
      </w:r>
      <w:r>
        <w:rPr>
          <w:rFonts w:ascii="Times New Roman" w:hAnsi="Times New Roman" w:cs="Times New Roman"/>
          <w:sz w:val="16"/>
          <w:szCs w:val="16"/>
        </w:rPr>
        <w:t xml:space="preserve"> that the value of a matching in-kind contribution of real property not exceed its fair market value “at the time of donation to the recipient as established by an independent appraiser (e.g., certified real property appraiser or General Services Administration representative) and certified by a responsible official of the recipient”  if an institution of higher education, hospital, or other nonprofit organization receives the donation of real property.   In  contrast to 43 CFR 12.923(h)(1)’s  </w:t>
      </w:r>
      <w:r>
        <w:rPr>
          <w:rFonts w:ascii="Times New Roman" w:hAnsi="Times New Roman" w:cs="Times New Roman"/>
          <w:sz w:val="16"/>
          <w:szCs w:val="16"/>
          <w:u w:val="single"/>
        </w:rPr>
        <w:t>requirement</w:t>
      </w:r>
      <w:r>
        <w:rPr>
          <w:rFonts w:ascii="Times New Roman" w:hAnsi="Times New Roman" w:cs="Times New Roman"/>
          <w:sz w:val="16"/>
          <w:szCs w:val="16"/>
        </w:rPr>
        <w:t xml:space="preserve"> of an appraisal, 43 CFR 12.64(g) only </w:t>
      </w:r>
      <w:r>
        <w:rPr>
          <w:rFonts w:ascii="Times New Roman" w:hAnsi="Times New Roman" w:cs="Times New Roman"/>
          <w:sz w:val="16"/>
          <w:szCs w:val="16"/>
          <w:u w:val="single"/>
        </w:rPr>
        <w:t>authorizes</w:t>
      </w:r>
      <w:r>
        <w:rPr>
          <w:rFonts w:ascii="Times New Roman" w:hAnsi="Times New Roman" w:cs="Times New Roman"/>
          <w:sz w:val="16"/>
          <w:szCs w:val="16"/>
        </w:rPr>
        <w:t xml:space="preserve"> the awarding agency to require an appraisal if a State, federally recognized Tribe, or local government receives a matching in-kind contribution of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It is the category of recipient or subrecipient receiving the matching in-kind contribution that determines the applicable subparts of 43 CFR, part 12, and the applicable Federal Cost Principles, not the category of match providers that offer the matching in-kind contribution.  The source of this conclusion is the following provision of 43 CFR 12.64(a)(7)(I): “Third party in-kind contributions count towards satisfying a cost sharing or matching requirement only where, if the party receiving the contributions were to pay for them, the payments would be allowable costs.”  This provision applies only to States, federally recognized Indian Tribes, and local governments, and there is no comparable provision applicable to institutions of higher education, hospitals, and other nonprofit organizations.  However, for lack of any other guidance, the NAWCA Grant Program concludes that the framers of the regulations and Cost Principles governing grant administration intended that it should be the receivers of matching in-kind contributions that determine for all grants which regulations and Cost Principles apply.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Despite authorizing an appraisal for some recipients and requiring one for others, 43 CFR, part 12, does not define an appraisal, prescribe the use of any nationally recognized appraisal standards, require an appraisal review, or set any threshold of estimated value below which an appraisal is unnecessary.  The Federal Cost Principles in OMB Circulars A-21, A-87, and A-122 require that costs be reasonable and all three circulars establish criteria to determine reasonableness.  A-21 includes arms-length bargaining as one of its criteria.  A-87 includes in its criteria sound business practices, arms-length  bargaining, and market prices for comparable goods.  A-122 includes in its criteria arms-length bargaining and generally accepted sound business practices.  An appraisal helps address these criteria and thus helps determine the reasonableness of the purchase price.  Therefore, an appraisal will be required for all matching in-kind contributions of real property unless the valuation problem is uncomplicated and the market value is estimated to be worth $10,000 or less.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An appraisal is required by the NAWCA Grants Program even if the recipient qualifies for the 49 CFR 24.101(a) exception process because a cost must be reasonable to be allowable and an appraisal completed in accordance with the UASFLA is the best way to demonstrate reasonableness for federally assisted land acquisition.  Furthermore, institutions of higher education, hospitals, and other nonprofit organizations are required at 43 CFR 12.945 to analyze costs or prices in connection with every procurement action.  An appraisal is one way of doing that.  The $10,000 threshold of value was selected because many appraisals obtained pursuant to the NAWCA Grants Program cost in the range of $2,000-$2,500.  The recipient should not generally have to pay appraisal costs that may exceed 20 percent of the value of the real property to determine what is a reasonable price.  43 CFR 12.64 authorizes the awarding agency to require recipient States, Tribes, and local governments to obtain an appraisal of real property acquired as match, and 43 CFR 12.923(h)(1) requires recipient institutions of higher education, hospitals, and nonprofit organizations to obtain an appraisal of real property acquired as match.  Thus, the NAWCA Grants Program requires appraisals of all real property acquired as match if the valuation problem is uncomplicated and if the real property is estimated to be worth more than $10,000 based on a review of available data.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If a matching in-kind contribution has not been fully acquired (i.e., has not been conveyed to the buyer) before the USFWS receives the proposal, but the buyer has qualified the acquisition for the 49 CFR 24.101(a) exception process, the requirements of 49 CFR, part 24, subpart B, would not apply in the absence of this policy.  These requirements include appraisal, appraisal review, Notice to Owner, Summary Statement of Just Compensation, and relocation obligations to a landowner (by reference in 43 CFR 24.202 and 49 CFR 24.2  </w:t>
      </w:r>
      <w:r>
        <w:rPr>
          <w:rFonts w:ascii="Times New Roman" w:hAnsi="Times New Roman" w:cs="Times New Roman"/>
          <w:i/>
          <w:iCs/>
          <w:sz w:val="16"/>
          <w:szCs w:val="16"/>
        </w:rPr>
        <w:t>displaced person</w:t>
      </w:r>
      <w:r>
        <w:rPr>
          <w:rFonts w:ascii="Times New Roman" w:hAnsi="Times New Roman" w:cs="Times New Roman"/>
          <w:sz w:val="16"/>
          <w:szCs w:val="16"/>
        </w:rPr>
        <w:t xml:space="preserve"> (2) </w:t>
      </w:r>
      <w:r>
        <w:rPr>
          <w:rFonts w:ascii="Times New Roman" w:hAnsi="Times New Roman" w:cs="Times New Roman"/>
          <w:i/>
          <w:iCs/>
          <w:sz w:val="16"/>
          <w:szCs w:val="16"/>
        </w:rPr>
        <w:t>persons not displaced</w:t>
      </w:r>
      <w:r>
        <w:rPr>
          <w:rFonts w:ascii="Times New Roman" w:hAnsi="Times New Roman" w:cs="Times New Roman"/>
          <w:sz w:val="16"/>
          <w:szCs w:val="16"/>
        </w:rPr>
        <w:t xml:space="preserve"> (viii)).  However, recipients and subrecipients are still responsible for relocation obligations to a tenant.  Notwithstanding the 49 CFR 24.101(a) exception process, an appraisal will be required for real property acquired as a matching in-kind contribution that closes after USFWS receives the proposal if the valuation problem is uncomplicated and if the real property is estimated to be worth more than $10,000 based on a review of available data.  Requiring an appraisal above a $10,000 threshold of estimated value will help ensure that costs are reasonable and uses the same threshold applicable to real property acquired for matching in-kind contributions fully acquired before USFWS receives the proposal.  The NAWCA Grant Program may impose this requirement despite the acquisition qualifying for the 49 CFR 24.101(a) exception process for two reasons: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16"/>
          <w:szCs w:val="16"/>
        </w:rPr>
      </w:pPr>
      <w:r>
        <w:rPr>
          <w:rFonts w:ascii="Times New Roman" w:hAnsi="Times New Roman" w:cs="Times New Roman"/>
          <w:sz w:val="16"/>
          <w:szCs w:val="16"/>
        </w:rPr>
        <w:t xml:space="preserve">(I) 49 CFR, part 24, implements the Uniform Relocation Assistance and Real Property Acquisition Policies Act of 1970, as amended.  Section 102.(a) of the Uniform Act states: “The provisions of Section 301 of Title III of this Act create no rights or liabilities and shall not affect the validity of any property acquisitions by purchase or condemnation.”  This provision can be interpreted to mean that the Act does not give a buyer any inherent right to qualify an acquisition for the 49 CFR 101(a) exception process.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16"/>
          <w:szCs w:val="16"/>
        </w:rPr>
      </w:pPr>
      <w:r>
        <w:rPr>
          <w:rFonts w:ascii="Times New Roman" w:hAnsi="Times New Roman" w:cs="Times New Roman"/>
          <w:sz w:val="16"/>
          <w:szCs w:val="16"/>
        </w:rPr>
        <w:t>(ii) The Federal Register/ Vol. 54. No. 40/ March 2, 1989, addressed public comments on the regulations proposed for 49 CFR, part 24.  It contained the following statement: “However, even though an acquisition may be excluded as a voluntary transaction, agencies may choose to follow the Subpart B process.”  This states, in effect, that the lead agency interprets the regulations to mean that an awarding agency does not have to allow the use of the exception process.  If an awarding agency does not have to allow the use of the exception process, it is reasonable to assume that it may choose to implement only part of the exception process.  Therefore, the NAWCA Grants Program chose to maintain the appraisal requirement for acquisitions that qualify for the 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recipient may use an administrative valuation formula as a substitute for an appraisal or informal valuation techniques if the administrative valuation formula was authorized for specific categories of property by law, regulation, or USFWS policy.  The USFWS Director authorized the use of an administrative valuation formula for minimally restrictive wetland and grassland easements in the Prairie Pothole Region in Director’s Order No. 170.  It became effective on April 22, 2004, and will expire on </w:t>
      </w:r>
      <w:r>
        <w:rPr>
          <w:rFonts w:ascii="Times New Roman" w:hAnsi="Times New Roman" w:cs="Times New Roman"/>
          <w:sz w:val="16"/>
          <w:szCs w:val="16"/>
        </w:rPr>
        <w:lastRenderedPageBreak/>
        <w:t xml:space="preserve">June 30, 2005, unless amended, superceded, or rescinded.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(d) The grant officer’s responsibility to review and concur with the analysis and conclusions of an informal determination of value is based on 49 CFR 24.4(a)(2) which states: “If a Federal agency or State agency provides Federal financial assistance to a “person” causing displacement, such Federal or State agency is responsible for ensuring compliance with the requirements of this part, notwithstanding the person’s contractual obligation to the grantee to comply.”  The exercise of this responsibility is especially important for an informal valuation completed without the use of appraisal standards.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(e) The 12-month period during which an appraisal remains valid is based on USFWS Manual, 342 FW 3.2 G.</w:t>
      </w:r>
      <w:r>
        <w:rPr>
          <w:rFonts w:ascii="Times New Roman" w:hAnsi="Times New Roman" w:cs="Times New Roman"/>
          <w:sz w:val="20"/>
          <w:szCs w:val="20"/>
        </w:rPr>
        <w:t xml:space="preserve">  </w:t>
      </w:r>
      <w:r>
        <w:rPr>
          <w:rFonts w:ascii="Times New Roman" w:hAnsi="Times New Roman" w:cs="Times New Roman"/>
          <w:sz w:val="16"/>
          <w:szCs w:val="16"/>
        </w:rPr>
        <w:t xml:space="preserve">The valuation of a matching in-kind contribution is governed by 43 CFR 12.64(e)(1), 43 CFR 12.923©), and 43 CFR 12.923(h)(1).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(f) The requirement that appraisals be certified by a responsible official of the recipient is at 43 CFR 12.64(g) and 43 CFR 12.923(h)(1).  Although 49 CFR, part 24, does not require the UASFLA, as such, 49 CFR 24.103(a) states that a detailed appraisal must reflect nationally recognized appraisal standards, including to the extent appropriate, the UASFLA.  49 CFR 24.103(a)(2), 49 CFR 24.103.(a)(5), and 49 CFR 24.103(b) stipulate specific requirements for Federal appraisals that UASFLA can satisfy, but USPAP (Uniform Standards for Professional Appraisal Practice) can satisfy  only by invoking jurisdictional exceptions on at least three technical issues under its Jurisdictional Exception Rule.  UASFLA is also specifically required to be used in NAWCA appraisals by USFWS Director’s Order No. 112 as amended on June 28, 2002  “Requirements for Reviewing, Approving and Updating Appraisals”.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(g) 49 CFR 24.103(d) (2) can be interpreted to require contract (fee) appraisers to be State certified if the appraisal is dealing with real property  estimated to be worth more than $1 million or it can be interpreted to mean that all appraisers of detailed appraisals must be State certified.  For the sake of simplicity, the NAWCA Grant Program requires all appraisers to be State certified.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(h) There are many opportunities for appraisers to make errors or to do inadequate research in appraising real property.  The frequency of invalid appraisals by State certified appraisers may not be high, but when an error is made, the appraised value could be off (and has been off ) by hundreds of thousands of dollars.  Thus, the NAWCA Grants Program encourages recipients to submit appraisals to USFWS review appraisers, or to review appraisers approved by USFWS, to catch errors, avoid the possibility of disallowance at a later date, and to deter less-than-careful work.  An appraisal review by a USFWS review appraiser, or one approved by USFWS, will provide an opinion by a disinterested technical expert.  The recipient will generally not have to pay for the services provided by a USFWS review appraiser.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If a State-employed or contract (fee) review appraiser is used, the grant officer must approve the estimate of fair market value before any offer to acquire is made.  This requirement is derived from DOT’s nonregulatory supplement, Transmittal 27, dated August 16, 1999.  It states: “The decision of whether to use fee review appraisers is up to each funding agency.  If contract or fee review appraisers are permitted, an official of the acquiring agency must approve the estimate of just compensation before any offer to acquire is made.”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(i-k) The requirements of 49 CFR, part 24, do not apply to a match provider’s purchase of real property for use as a matching in-kind contribution if the match provider closes on the property before the USFWS receives the project proposal.  Conversely, if the match provider closes on the property after the USFWS receives the project proposal, 49 CFR, part 24, applies to all steps in the acquisition process even those that occurred before USFWS receives the project proposal.  This interpretation is supported by informal advice from the Department of the Interior’s Solicitor’s Office.  A Solicitor’s attorney advised that any land fully acquired as match  (i.e., has gone to closing) before the award is not subject to 49 CFR, part 24, but the NAWCA Grant Program may impose the equivalent of the requirements of 49 CFR, part 24, by policy.  Accordingly, the NAWCA Grant Program has imposed, by policy, the equivalent of the requirements of 49 CFR, part 24,on all acquisitions that have not gone to closing by the date that the USFWS receives the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(i) 49 CFR 12.101(a)(1)&amp;(2) establishes the requirements for qualifying for the exception process.  All buyers of real property under a NAWCA grant are required to comply with the two requirements for the exception process.  These two requirements apply to  buyers without eminent domain authority as well as to buyers with eminent domain authority.  Nevertheless, some acquisitions by buyers with eminent domain authority may not be able conform to the two additional requirements at 49 CFR 24.10(a)(1)(i)&amp;(ii).  Any acquisition that does not qualify for the exception process must adhere to the requirements of the basic (or standard) process.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(j)  Department of Transportation, Federal Highway Administration’s Susan Lauffer’s letter to Pat A. Langley of USFWS Division of Federal Aid, Albuquerque, NM, dated May 10, 2000, required that the acquiring organization’s file contain a letter donating the  difference between the fair market value and the selling price.  According to 49 CFR 24.2 </w:t>
      </w:r>
      <w:r>
        <w:rPr>
          <w:rFonts w:ascii="Times New Roman" w:hAnsi="Times New Roman" w:cs="Times New Roman"/>
          <w:i/>
          <w:iCs/>
          <w:sz w:val="16"/>
          <w:szCs w:val="16"/>
        </w:rPr>
        <w:t>Lead Agency</w:t>
      </w:r>
      <w:r>
        <w:rPr>
          <w:rFonts w:ascii="Times New Roman" w:hAnsi="Times New Roman" w:cs="Times New Roman"/>
          <w:sz w:val="16"/>
          <w:szCs w:val="16"/>
        </w:rPr>
        <w:t>, The Department of Transportation is the lead agency for the issuance of 49 CFR, part 24.  Under 42 U.S.C. Section 4633, the lead agency is authorized to issue such procedures as may be necessary to assure that the payments and assistance authorized by this chapter shall be administered in a manner that is fair and reasonable and as uniform as possible.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(k) </w:t>
      </w:r>
      <w:r>
        <w:rPr>
          <w:rFonts w:ascii="Times New Roman" w:hAnsi="Times New Roman" w:cs="Times New Roman"/>
          <w:sz w:val="16"/>
          <w:szCs w:val="16"/>
        </w:rPr>
        <w:t>The notice of relocation  eligibility is required at 49 CFR 24.203.  The recipient cannot exempt itself from obligations to tenants even if the recipient qualifies under the 49 CFR 24.101(a) exception process as a result of the definition of</w:t>
      </w:r>
      <w:r>
        <w:rPr>
          <w:rFonts w:ascii="Times New Roman" w:hAnsi="Times New Roman" w:cs="Times New Roman"/>
          <w:i/>
          <w:iCs/>
          <w:sz w:val="16"/>
          <w:szCs w:val="16"/>
        </w:rPr>
        <w:t xml:space="preserve"> Persons not displaced</w:t>
      </w:r>
      <w:r>
        <w:rPr>
          <w:rFonts w:ascii="Times New Roman" w:hAnsi="Times New Roman" w:cs="Times New Roman"/>
          <w:sz w:val="16"/>
          <w:szCs w:val="16"/>
        </w:rPr>
        <w:t xml:space="preserve"> at 49 CFR 24.2.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(l) The 10 years-or-longer threshold for recording a term lease or term easement in real property is based on two considerations in John W. Reilly’s Language of Real Estate (1993): long-term leases are those that are “generally 10 years and longer”, a lease is not recorded unless it is “for a relatively long-term (three years or more) or is security for a mortgage”.  Ten years was selected because it is a recognized division between long- and short-term leases.  It will protect the vast majority of real property interests acquired under NAWCA (probably in excess of 99.9 percent) while minimizing costs for staff time and recording fees for short-term and low-value real property interests.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(m) The Notice of Property Restriction is authorized for institutions of higher education, hospitals, and other nonprofit organizations by 43 CFR 12.937 which states:  “Agencies may require recipients to record liens or other appropriate notices of records to indicate that personnel or real property has been acquired or improved with Federal funds and that use and disposition conditions apply to the property.”  Section 6 of NAWCA authorizes a Notice of Property Restriction or something very similar to it in the following provision: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Since all recorded documents, including the Notices of Property Restriction, are filed chronologically and cross-referenced to deeds, there is no need to have a separate Notice of Property Restriction for every interest in real property acquired under the NAWCA project.  Therefore, for each jurisdiction of an individual recorder’s office, one Notice of Property Restriction cross referencing each interest acquired in that jurisdiction will suffice.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I-6.  Can I be reimbursed with Federal funds if I contractually commit to buy land before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USFWS will not reimburse the recipient for the purchase of real property if the recipient or any subrecipient becomes </w:t>
      </w:r>
      <w:r>
        <w:rPr>
          <w:rFonts w:ascii="Times New Roman" w:hAnsi="Times New Roman" w:cs="Times New Roman"/>
          <w:sz w:val="20"/>
          <w:szCs w:val="20"/>
        </w:rPr>
        <w:lastRenderedPageBreak/>
        <w:t>contractually committed to its purchase before the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12.928 states: “Where a funding period is specified, a recipient may charge to the grant only allowable costs resulting from obligations incurred during the funding period and any pre-award costs authorized by the Federal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Educational Institutions”, OMB Circular A-21, J.36., states: “Costs incurred prior to the effective date of the sponsored agreement, whether or not they would have been allowable thereunder if incurred after such date, are unallowable thereunder if incurred after such date, are unallowable unless approved by the sponsoring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Attachment B, Section 31, and “Cost Principles for Non-profit Organizations”, OMB Circular A-122, Attachment B, Section 36, state: “Pre-award costs are those incurred prior to the effective date of the award directly pursuant to the negotiation and in anticipation of the award where such costs are necessary to comply with the proposed delivery schedule or period of performance.  Such costs are allowable only to the extent that they would have been allowable if incurred after the date of the award and only with the written approval of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Solicitor’s Opinion signed by Alton Woods and dated June 3, 1999: “... GAO’s policy, extrapolated from its opinions on this issue, question the prudence of disallowing [</w:t>
      </w:r>
      <w:r>
        <w:rPr>
          <w:rFonts w:ascii="Times New Roman" w:hAnsi="Times New Roman" w:cs="Times New Roman"/>
          <w:i/>
          <w:iCs/>
          <w:sz w:val="16"/>
          <w:szCs w:val="16"/>
        </w:rPr>
        <w:t>sic</w:t>
      </w:r>
      <w:r>
        <w:rPr>
          <w:rFonts w:ascii="Times New Roman" w:hAnsi="Times New Roman" w:cs="Times New Roman"/>
          <w:sz w:val="16"/>
          <w:szCs w:val="16"/>
        </w:rPr>
        <w:t xml:space="preserve">, it is clear from the context that allow was meant instead of disallow] “pre-agreement costs [incurred] up to two years prior to the submission of a project proposal. ... Therefore, the discretion of the awarding agency is the controlling factor with regard to whether or not pre-award costs will be awarded to the grantee; however, that discretion is not absolute. ... FWS’s position of allowing pre-agreement costs upwards of two to three years prior to the submission of a project proposal results in protracted, uncertain, and indefinite obligations by the Government.  B-197699, </w:t>
      </w:r>
      <w:r>
        <w:rPr>
          <w:rFonts w:ascii="Times New Roman" w:hAnsi="Times New Roman" w:cs="Times New Roman"/>
          <w:i/>
          <w:iCs/>
          <w:sz w:val="16"/>
          <w:szCs w:val="16"/>
        </w:rPr>
        <w:t>supra</w:t>
      </w:r>
      <w:r>
        <w:rPr>
          <w:rFonts w:ascii="Times New Roman" w:hAnsi="Times New Roman" w:cs="Times New Roman"/>
          <w:sz w:val="16"/>
          <w:szCs w:val="16"/>
        </w:rPr>
        <w:t>.  Consequently, GAO has stated that this is an untenable position.”  The Opinion cited two cases where GAO allowed the Department of the Interior to pay pre-award costs four months and eight months before the funding period.  The Opinion concluded with the following: “We understand that NAWCA often has land-acquisition opportunities that require immediate action, but pressing circumstances do not justify abandoning prudent and sound judgment, nor GAO policy considerations. We will defer to your office’s judgment in this regard.”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Letter from Juanita Williams, Chief of  the Division of the USFWS Division of Contracting and General Services dated August 22, 2000, to Chief of the North American Waterfowl and Wetlands Office.  “We believe that pre-award requests made to the Service by grant applicants under the NAWCA program prior to approval of the application by the MBCC are best left to the judgment of the NAWWO program office since the determination that such approval is in the best interest of the Government would be based on programmatic interests.  If NAWWO decides to approve such pre-award costs, the file must be documented to support the rationale for the approval.  Such approvals should include the appropriate language to protect the interests of the Service, either as guidance in your application instructions or in each specific letter authorizing the pre-award cost similar to the following: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20"/>
          <w:szCs w:val="20"/>
        </w:rPr>
      </w:pPr>
      <w:r>
        <w:rPr>
          <w:rFonts w:ascii="Times New Roman" w:hAnsi="Times New Roman" w:cs="Times New Roman"/>
          <w:sz w:val="16"/>
          <w:szCs w:val="16"/>
        </w:rPr>
        <w:t>All pre-award costs are incurred at the recipient’s risk (i.e., the Federal awarding agency is under no obligation to reimburse such costs if for any reason the recipient does not receive an award or if the award is less than anticipated and inadequate to cover such costs).  Such costs are allowable only to the extent that they would have been allowable if incurred after the date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lastRenderedPageBreak/>
        <w:t>I-7.   What if  I buy land with Federal or matching funds after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following rules apply if a buyer contractually commits to the purchase of real property after the USFWS receives the proposal and before the end of the funding period, and the buyer intends to pay for the property with an advance or reimbursement from grant or matching funds (even if it is offered as a matching in-kind contribution):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All real property sales transactions under a NAWCA-funded project must be from willing sellers.  Condemnation proceedings may be used only when necessary to assist in determining the legal owner.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(b) Except for three categories of acquisitions, all recipients must obtain an appraisal when acquiring fee simple, fee with exceptions to title, easements, leases, and appurtenances to real property.  The first acquisition category that does not require an appraisal includes acquisitions that qualify for the 49 CFR 24.101(a) exception process, </w:t>
      </w:r>
      <w:r>
        <w:rPr>
          <w:rFonts w:ascii="Times New Roman" w:hAnsi="Times New Roman" w:cs="Times New Roman"/>
          <w:sz w:val="20"/>
          <w:szCs w:val="20"/>
          <w:u w:val="single"/>
        </w:rPr>
        <w:t>and</w:t>
      </w:r>
      <w:r>
        <w:rPr>
          <w:rFonts w:ascii="Times New Roman" w:hAnsi="Times New Roman" w:cs="Times New Roman"/>
          <w:sz w:val="20"/>
          <w:szCs w:val="20"/>
        </w:rPr>
        <w:t xml:space="preserve"> the valuation problem is uncomplicated, </w:t>
      </w:r>
      <w:r>
        <w:rPr>
          <w:rFonts w:ascii="Times New Roman" w:hAnsi="Times New Roman" w:cs="Times New Roman"/>
          <w:sz w:val="20"/>
          <w:szCs w:val="20"/>
          <w:u w:val="single"/>
        </w:rPr>
        <w:t>and</w:t>
      </w:r>
      <w:r>
        <w:rPr>
          <w:rFonts w:ascii="Times New Roman" w:hAnsi="Times New Roman" w:cs="Times New Roman"/>
          <w:sz w:val="20"/>
          <w:szCs w:val="20"/>
        </w:rPr>
        <w:t xml:space="preserve"> the fair market value is estimated to be $10,000 or less based on review of available data.  Anyone who determines that the acquisition will be uncomplicated and anyone who estimates the market value to be $10,000 or less must understand appraisal principles well enough to make such a determination. The second acquisition category that does not require an appraisal includes acquisitions that do not qualify for the 49 CFR 24.101(a) exception process, </w:t>
      </w:r>
      <w:r>
        <w:rPr>
          <w:rFonts w:ascii="Times New Roman" w:hAnsi="Times New Roman" w:cs="Times New Roman"/>
          <w:sz w:val="20"/>
          <w:szCs w:val="20"/>
          <w:u w:val="single"/>
        </w:rPr>
        <w:t>and</w:t>
      </w:r>
      <w:r>
        <w:rPr>
          <w:rFonts w:ascii="Times New Roman" w:hAnsi="Times New Roman" w:cs="Times New Roman"/>
          <w:sz w:val="20"/>
          <w:szCs w:val="20"/>
        </w:rPr>
        <w:t xml:space="preserve"> the valuation problem is uncomplicated, </w:t>
      </w:r>
      <w:r>
        <w:rPr>
          <w:rFonts w:ascii="Times New Roman" w:hAnsi="Times New Roman" w:cs="Times New Roman"/>
          <w:sz w:val="20"/>
          <w:szCs w:val="20"/>
          <w:u w:val="single"/>
        </w:rPr>
        <w:t>and</w:t>
      </w:r>
      <w:r>
        <w:rPr>
          <w:rFonts w:ascii="Times New Roman" w:hAnsi="Times New Roman" w:cs="Times New Roman"/>
          <w:sz w:val="20"/>
          <w:szCs w:val="20"/>
        </w:rPr>
        <w:t xml:space="preserve">  threshold of value is estimated to be $2,500 or less.  Anyone who determines that the acquisition will be uncomplicated and anyone who estimates the market value to be $2,500 or less must understand appraisal principles well enough to make such a determination.  The third acquisition category that does not require an appraisal includes specific types of real property for which law, regulation, or USFWS policy authorizes an administrative valuation formula as is currently the case for acquisition of minimally restrictive wetland and grassland easements in the Prairie Pothole Region.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If an appraisal is used to determine value, the appraised value must conform to the Uniform Appraisal Standards of Federal Land Acquisition.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(d) The effective date of the value estimate of (a) an appraisal, (b) any informal determination of market value, or ©) any determination of market value based on an administrative formula authorized by law, regulation, and/or USFWS policy, should not precede any contractual commitment to acquire the property by more than 12 months.  The USFWS may require the recipient to secure an updated value estimate if a material change occurs in the local real estate market or in the character or condition of the property or its surroundings between the effective date of the value estimate and the contractual commitment to acquire the real property or the date of the transfer of the title if such transfer was not preceded by a contractual commitment to acquire the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 xml:space="preserve">(e) If a contract (fee) appraisal is used to determine value, the appraiser must be State-certified.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(f) If an appraisal is used to determine value, recipients are encouraged to have the appraisal reviewed by a USFWS review appraiser or a State-employed or contract (fee) review appraiser who has been approved by the USFWS review appraiser in the appropriate USFWS Regional Office.  Regardless of whether the recipient requests the services of a review appraiser, USFWS and its review appraisers reserve the right to review any or all appraisals for federally assisted land acquisition.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(g) If an appraisal is not required or an administrative valuation formula is not authorized for under the provisions of (b) above, the recipient must base the estimate of fair market value in (h) on an informal sales comparison of similar properties, a recent prior sale of the same property, or the assessed value.  All of these methods must be adjusted, as appropriate, for inflation, any recent material change in the local real estate market, or, in the case of assessment, for the method of determining the assessed value.  The grant officer may require the recipient to submit additional documentation if he or she finds any informal determination of market value to be insufficient or if the grant officer does not concur with the analysis and conclusions.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(h) If the buyer does not have the authority to acquire property by eminent domain, the recipient must ensure that a notice be sent to the owner prior to making an offer for the real property.  The notice must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(1) clearly advise the owner that it will be unable to acquire the property in the event negotiations fail to result in an amicable agreement [i.e., the buyer does not have condemnation (or eminent domain)authority],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(2) inform the owner of what the buyer believes to be the fair market value of the property, and if the recipient is required to secure an appraisal under the provisions of (b) above, that appraisal must be used as the sole determinant of fair market value.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 If the buyer is an agency that has eminent domain authority, but the acquisition is nonetheless voluntary, then two additional conditions must also be satisfied to qualify for the exception process.  These are: (1) no specific site or property needs to be acquired, although the agency may limit its search for alternative sites to a general geographic area (where an agency wishes to purchase more than one site within a geographic area on this basis, all owners are to be treated similarly); and (2) the property to be acquired is not part of an intended, planned, or designated project area where all or substantially all of the property within the area is to be acquired within specific time limits.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(j) The buyer must insure that the notice sent to the seller to qualify for the exception process is personally served or sent by certified or registered first-class mail, return receipt requested, and that it is documented in the buyer’s files.  The buyer must also obtain a statement signed and dated by the seller that (1) donates any difference between the fair market value and the selling price; or (2) acknowledges that the seller received and read the seller’s notice to the owner to qualify for the exception process.  A copy of the buyer’s notice to the seller to qualify for the exception process with the seller’s signature and the date of signature will satisfy (j)(2).  The recipient must ensure that the grant officer receives a copy of the statement signed by the seller for purposes of (j)(1) or (j)(2).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(k) If the seller/lessor of (i) fee simple, (ii) fee title subject to retention of a life estate, life use, or any other exception to title, (iii) permanent easements, or (iv) any lease or less-than permanent easement, is not advised of (h)(1) and (h)(2) above, (and in the case of a buyer with eminent domain authority, the acquisition does not also qualify under I-7(i) above) the acquisition will not qualify for the exception process and the buyer must: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(1) have the appraisal reviewed (if an appraisal was required because the valuation problem was complicated or the real property interest) was estimated to be worth more than $2,500),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firstLine="270"/>
        <w:rPr>
          <w:rFonts w:ascii="Times New Roman" w:hAnsi="Times New Roman" w:cs="Times New Roman"/>
          <w:sz w:val="20"/>
          <w:szCs w:val="20"/>
        </w:rPr>
      </w:pPr>
      <w:r>
        <w:rPr>
          <w:rFonts w:ascii="Times New Roman" w:hAnsi="Times New Roman" w:cs="Times New Roman"/>
          <w:sz w:val="20"/>
          <w:szCs w:val="20"/>
        </w:rPr>
        <w:t xml:space="preserve">(2) pay any relocation benefits for which the landowner is eligible,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(3) pay any qualifying expenses incidental to transfer,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(4) comply with all other provisions of 49 CFR, part 24, that apply in the event that the buyer does not qualify for the 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(l) Regardless of whether it is required by the applicable State, Commonwealth, or Territory, the recipient must ensure that all deeds, easements with a term 10 years or longer, and assignments of leases with a term 10 years or longer are recorded with reference to a deed or other real-property-conveyance instrument in the county, parish, borough, or other local office that maintains the records affecting title to real property in that jurisdiction., i.e., recorder’s office, registrar of deeds office, commissioner of deeds office, county registrar’s office, or bureau of conveyances.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(m) If tenants reside on, or own improvements on, or have personal property that needs to be relocated from the real property that is being acquired, the tenant is eligible for relocation on the date of the initiation of negotiations (as defined at 49 CFR 24.2 and in the definitions section of this policy).  The recipient must ensure that the buyer provides relocation assistance advice, a Notice of Relocation Eligibility, and relocation assistance to displaced tenant(s) as required in 49 CFR, part 24.  The recipient must insure that the notice of relocation eligibility is personally served or sent by certified or registered first-class mail, return receipt requested, and that it is documented in the buyer’s files.  The buyer must write the notice in plain and understandable language.  The buyer must provide persons who are unable to read and understand the notice with appropriate translation and counseling.  The notice must indicate the name and telephone number of a person who may be contacted for answers to questions or other needed help.  Qualifying for the exception process in accordance with this policy does not relieve a buyer of any obligations to a tenant under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(n) The recipient must ensure that Notices of Property Restriction are recorded for all property rights acquired in perpetuity or for terms (periods) of 10 years or longer unless equivalent provisions were entered in the deed, easement, or assignment of lease.  The Notice of Property Restriction must be recorded after submission of the final report and the grants officer’s approval of the Federal and recipient’s percentages of the total costs of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(a) The Merchant Marine and Fisheries Committee of the U.S. House of Representatives included the following statement on page 13 of the legislative report accompanying NAWCA (Report 101-269, dated October 5, 1989): “It is the intent of the Committee that in th e acquisition of lands authorized by this legislation, the FWS should continue its present land acquisition policy.  Under the policy, the Service uses condemnation proceedings only when necessary to assist in the determination of the legal owner, settle a difference of opinion about value, or prevent uses which would cause irreparable damage to wildlife resources.  The Committee expects that lands acquired under this legislation will typically  be from willing sellers.”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Committee on Environment and Public Works of the U.S. Senate included the following statement on page 5 of the legislative report accompanying NAWCA (Report 101-161, dated October 5, 1989): “In the acquisition of lands authorized by this legislation, the Fish and Wildlife Service should continue its present land acquisition policy of obtaining lands or waters or interests therein from  willing sellers or donors.  The definition of “wetlands conservation project” is not intended to preclude the Service from using condemnation proceedings in cases in which its use would assist in the determination of the legal owner.”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North American Wetlands Conservation Council indicated informally in its December 2000 meeting in Washington, D.C. that only lands from willing sellers should be acquired under NAWCA.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This policy allows condemnation proceedings only when necessary to assist in determining the legal owner.  This was explicitly permitted in  both NAWCA legislative reports and is consistent with the Council’s informally expressed views in December 2000.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(b)  The Federal Cost Principles in OMB Circulars A-21, A-87, and A-122 require that costs be reasonable and all three circulars establish criteria to determine reasonableness.  A-21 includes arms-length bargaining as one of its criteria.  A-87 includes in its criteria sound business practices, arms-length  bargaining, and market prices for comparable goods.  A-122 includes in its criteria arms-length bargaining and generally accepted sound business practices.  An appraisal addresses these criteria to one degree or another and thus helps determine the reasonableness of the purchase price.  Therefore, an appraisal will be required for all matching in-kind contributions of real property unless an administrative valuation formula is authorized by law, regulation, or policy, </w:t>
      </w:r>
      <w:r>
        <w:rPr>
          <w:rFonts w:ascii="Times New Roman" w:hAnsi="Times New Roman" w:cs="Times New Roman"/>
          <w:sz w:val="16"/>
          <w:szCs w:val="16"/>
          <w:u w:val="single"/>
        </w:rPr>
        <w:t>or</w:t>
      </w:r>
      <w:r>
        <w:rPr>
          <w:rFonts w:ascii="Times New Roman" w:hAnsi="Times New Roman" w:cs="Times New Roman"/>
          <w:sz w:val="16"/>
          <w:szCs w:val="16"/>
        </w:rPr>
        <w:t xml:space="preserve"> the valuation problem is uncomplicated and the market value is estimated to be worth more than $10,000 if the acquisition qualifies for the exception process and $2,500 if it does not qualify.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USFWS Director authorized the use of an administrative valuation formula for minimally restrictive wetland and grassland easements in the Prairie Pothole Region. in Director’s Order No. 170.  It became effective on April 22, 2004, and will expire on June 30, 2005, unless amended, superceded, or rescinded.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Unless an administrative valuation formula is authorized, an appraisal is required by the NAWCA Grants Program even if the recipient qualifies for the 49 CFR 24.101(a) exception process.  A cost must be reasonable to be allowable and an appraisal completed in accordance with the UASFLA is the best way to demonstrate reasonableness for federally assisted land acquisition.  Furthermore, institutions of higher education, hospitals, and other nonprofit organizations are required at 43 CFR 12.945 to analyze costs or prices in connection with every procurement action.  An appraisal is one way of doing that.  The $10,000 threshold of value was selected because many appraisals obtained pursuant to the NAWCA Grants Program cost in the range of $2,000-$2,500.  The recipient should not generally have to pay appraisal costs that may exceed 20 percent of the value of the real property to determine what is a reasonable price.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540" w:right="54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If a matching in-kind contribution has not been fully acquired (i.e., the real property has not been conveyed to the buyer) before the USFWS receives the proposal, but the buyer has qualified the acquisition for the 49 CFR 24.101(a) exception process, the requirements of 49 CFR, part 24, subpart B, technically do not apply to the acquisition.  These requirements include appraisal, appraisal review, Notice to Owner, Summary Statement of Just Compensation, and relocation obligations to a landowner(by reference in 43 CFR 24.202 and 49 CFR 24.2  </w:t>
      </w:r>
      <w:r>
        <w:rPr>
          <w:rFonts w:ascii="Times New Roman" w:hAnsi="Times New Roman" w:cs="Times New Roman"/>
          <w:i/>
          <w:iCs/>
          <w:sz w:val="16"/>
          <w:szCs w:val="16"/>
        </w:rPr>
        <w:t>displaced person</w:t>
      </w:r>
      <w:r>
        <w:rPr>
          <w:rFonts w:ascii="Times New Roman" w:hAnsi="Times New Roman" w:cs="Times New Roman"/>
          <w:sz w:val="16"/>
          <w:szCs w:val="16"/>
        </w:rPr>
        <w:t xml:space="preserve"> (2) </w:t>
      </w:r>
      <w:r>
        <w:rPr>
          <w:rFonts w:ascii="Times New Roman" w:hAnsi="Times New Roman" w:cs="Times New Roman"/>
          <w:i/>
          <w:iCs/>
          <w:sz w:val="16"/>
          <w:szCs w:val="16"/>
        </w:rPr>
        <w:t>persons not displaced</w:t>
      </w:r>
      <w:r>
        <w:rPr>
          <w:rFonts w:ascii="Times New Roman" w:hAnsi="Times New Roman" w:cs="Times New Roman"/>
          <w:sz w:val="16"/>
          <w:szCs w:val="16"/>
        </w:rPr>
        <w:t xml:space="preserve"> (viii)).  However, recipients and subrecipients are still responsible for relocation obligations to a tenant.  Requiring an appraisal above a $10,000 threshold of estimated value will help ensure that costs are reasonable and this is the same threshold amount applicable to real property acquired for matching in-kind contributions fully acquired before USFWS receives the proposal.  For those acquisitions for which an administrative valuation formula is not authorized, the NAWCA Grant Program  imposes this requirement even if the acquisition qualifies for the 49 CFR 24.101(a) exception process for two reasons: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16"/>
          <w:szCs w:val="16"/>
        </w:rPr>
      </w:pPr>
      <w:r>
        <w:rPr>
          <w:rFonts w:ascii="Times New Roman" w:hAnsi="Times New Roman" w:cs="Times New Roman"/>
          <w:sz w:val="16"/>
          <w:szCs w:val="16"/>
        </w:rPr>
        <w:t xml:space="preserve">(i) 49 CFR, part 24, implements the Uniform Relocation Assistance and Real Property Acquisition Policies Act of 1970, as amended.   Section 102.(a) of the Uniform Act states: “The provisions of Section 301 of Title III of this Act create no rights or liabilities and shall not affect the validity of any property acquisitions by purchase or condemnation.”  This provision can be interpreted to mean that the Act does not give a buyer any inherent right to qualify an acquisition for the 49 CFR 101(a) exception process.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16"/>
          <w:szCs w:val="16"/>
        </w:rPr>
      </w:pPr>
      <w:r>
        <w:rPr>
          <w:rFonts w:ascii="Times New Roman" w:hAnsi="Times New Roman" w:cs="Times New Roman"/>
          <w:sz w:val="16"/>
          <w:szCs w:val="16"/>
        </w:rPr>
        <w:t>(ii) The Federal Register/ Vol. 54. No. 40/ March 2, 1989, addressed public comments on the regulations proposed for 49 CFR, part 24.  It contained the following statement: “However, even though an acquisition may be excluded as a voluntary transaction, agencies may choose to follow the Subpart B process.”  This states, in effect, that the lead agency interprets the regulations to mean that an awarding agency does not have to allow the use of the 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Based on (c)(i) and (c)(ii) above, it is reasonable to conclude that an awarding agency may reimpose by policy part of the requirements from  which a buyer otherwise would have been exempt as a result of an acquisition qualifying for the 49 CFR 101(a) exception process.  Requiring recipients to comply with two of the qualification conditions for the exception process will ensure that the great majority of recipients will qualify.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Although 49 CFR, part 24, does not require the UASFLA, as such, 49 CFR 24.103(a) states that a detailed appraisal must reflect nationally recognized appraisal standards, including to the extent appropriate, the UASFLA.  49 CFR 24.103(a)(2), 49 CFR 24.103.(a)(5), and 49 CFR 24.103(b) stipulate specific requirements for Federal appraisals that UASFLA can meet, but USPAP (Uniform Standards for Professional Appraisal Practice) can meet only by deviating from its standards on at least three technical issues under its Jurisdictional Exception Rule.  UASFLA is also specifically required to be used in NAWCA appraisals by USFWS Director’s Order No. 112 as amended on June 28, 2002  “Requirements for Reviewing, Approving and Updating Appraisals”.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(d) The 12-month period during which an appraisal remains valid is based on the USFWS Manual 342 FW 3.2 G.(June 17, 2001).  The valuation of a matching in-kind contribution is governed by 43 CFR 12.64(e)(1), and 43 CFR 12.923©), and 43 CFR 12.923(h)(1).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(e) 49 CFR 24.103(d) (2) can be interpreted to require contract (fee) appraisers to be State certified if the appraisal is dealing with real property  estimated to be worth more than $1 million or it can be interpreted to mean that all appraisers of detailed appraisals must be State certified.  For the sake of simplicity, the NAWCA Grant Program requires all appraisers to be State certified.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(f) There are many opportunities for appraisers to make errors or to do inadequate research in appraising real property.  The frequency of invalid appraisals by State certified appraisers may not be high, but when an error is made, the appraised value could be off (and has been off ) by hundreds of thousands of dollars.  An appraisal review is the only way to catch these errors and the possibility of using a review appraiser may deter less-than-careful work.  An appraisal review by a USFWS review appraiser, or one approved by USFWS, will provide an opinion by a disinterested technical expert.  The recipient will not have to pay for the services provided by a USFWS reviewing appraiser.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(g) Department of Transportation, Federal Highway Administration’s Susan Lauffer’s letter to Pat A. Langley of USFWS Division of Federal Aid, Albuquerque, NM, dated May 10, 2000, suggested some methods of determining fair market value short of an appraisal.  It stated that the  documentation “may consist of recent sale prices of specific, identified comparable properties, or other similar factual data.”  According to 49 CFR 24.2 </w:t>
      </w:r>
      <w:r>
        <w:rPr>
          <w:rFonts w:ascii="Times New Roman" w:hAnsi="Times New Roman" w:cs="Times New Roman"/>
          <w:i/>
          <w:iCs/>
          <w:sz w:val="16"/>
          <w:szCs w:val="16"/>
        </w:rPr>
        <w:t>Lead Agency</w:t>
      </w:r>
      <w:r>
        <w:rPr>
          <w:rFonts w:ascii="Times New Roman" w:hAnsi="Times New Roman" w:cs="Times New Roman"/>
          <w:sz w:val="16"/>
          <w:szCs w:val="16"/>
        </w:rPr>
        <w:t xml:space="preserve">, The Department of Transportation is the lead agency for the issuance of 49 CFR, part 24.  Under 42 U.S.C. Section 4633, the lead agency is authorized to issue such procedures as may be necessary to assure that the payments and assistance authorized by this chapter shall be administered in a manner that is fair and reasonable and as uniform as possible.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grant officer’s responsibility to review and concur with the analysis and conclusions of an informal determination of value is based on 49 CFR 24.4(a)(2) which states: “If a Federal agency or State agency provides Federal financial assistance to a “person” causing displacement, such Federal or State agency is responsible for ensuring compliance with the requirements of this part, notwithstanding the person’s contractual obligation to the grantee to comply.”  The exercise of this responsibility is especially important for a informal valuation completed without the use of appraisal standards.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(h) &amp; (i) All buyers of real property under a NAWCA grant are required to comply with the two requirements for the exception process that are applied to buyers without eminent domain authority as well as to buyers with eminent domain authority, the requirements for which are at 49 CFR 12.101(a)(1)&amp;(2).  Qualification for the exception process will permit buyers to exempt themselves from requirement of a Notice to Owner, a Summary Statement of Just Compensation, an appraisal review, relocation assistance to a landowner, and expenses incidental to transfer.  These should not be required in a voluntary sale.  This requirement notwithstanding, some NAWCA projects may have been designed in such a way that not all acquisitions by buyers with eminent domain authority will qualify for the exception process due to the two additional requirements at 49 CFR 24.101(a)(1)(i)&amp;(ii).  If an acquisition by a buyer with eminent domain authority does not qualify for the exception process, the buyer must comply with all the acquisition requirements of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(j) The manner in which all notices required under 49 CFR, part 24, must be delivered is specified in 49 CFR 24.5.   Department of Transportation, Federal Highway Administration’s Susan Lauffer’s letter to Pat A. Langley of USFWS Division of Federal Aid, Albuquerque, NM, dated May 10, 2000, advised that the acquiring organization’s file should contain a letter donating the difference between the fair market value and the selling price.  According to 49 CFR 24.2 </w:t>
      </w:r>
      <w:r>
        <w:rPr>
          <w:rFonts w:ascii="Times New Roman" w:hAnsi="Times New Roman" w:cs="Times New Roman"/>
          <w:i/>
          <w:iCs/>
          <w:sz w:val="16"/>
          <w:szCs w:val="16"/>
        </w:rPr>
        <w:t>Lead Agency</w:t>
      </w:r>
      <w:r>
        <w:rPr>
          <w:rFonts w:ascii="Times New Roman" w:hAnsi="Times New Roman" w:cs="Times New Roman"/>
          <w:sz w:val="16"/>
          <w:szCs w:val="16"/>
        </w:rPr>
        <w:t xml:space="preserve">, The Department of Transportation is the lead agency for the issuance of 49 CFR, part 24.  Under 42 U.S.C. Section 4633, the lead agency is authorized to issue such procedures as may be necessary to assure that the payments and assistance authorized by this chapter shall be administered in a manner that is fair and reasonable and as uniform as possible.  The staff of the NAWCA Grants Program determined that either (a) a signed statement by the seller that he or she had read the buyer’s notice sent for the purpose of qualifying for the exception process, (b) a copy of the same buyer’s notice to the seller with the seller’s signature and the date of his or her signature, would adequately substitute for a letter from the seller donating the difference between the fair market value and the selling price.  Although it is not required by regulation that USFWS receive a copy of the buyer’s notice to the seller, it is a good way to fulfill the USFWS’s responsibility under 49 CFR 24.4(a)(2) which reads: “If a Federal agency or State agency provides Federal financial assistance to a “person” causing displacement, such a Federal or State agency is responsible for ensuring compliance with the requirements of this part. .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(k) 49 CFR 24.101(a) states, in part: “The requirements of this subpart apply to any acquisition of real property for a Federal program or project, and to programs and projects where there is Federal financial assistance in any part of project costs except for:</w:t>
      </w:r>
      <w:r>
        <w:rPr>
          <w:rFonts w:ascii="Times New Roman" w:hAnsi="Times New Roman" w:cs="Times New Roman"/>
          <w:i/>
          <w:iCs/>
          <w:sz w:val="16"/>
          <w:szCs w:val="16"/>
        </w:rPr>
        <w:t xml:space="preserve"> [The qualification criteria for the exception process follows]</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540" w:right="54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49 CFR 24.101(b) states: In addition to fee simple title, the provisions of this subpart apply when acquiring fee title subject to retention of a life estate or a life use; to acquisition by leasing where the lease term, including option(s) for extension is 50 years or more; and to the acquisition of permanent easements.  (See appendix A of this part, §24.101(b).)”   Despite the reference to the 50-year threshold for leases and “permanent easements”, the requirements of item (k) above applies to “any lease or less-than permanent easement”.  This is justified by appendix A of 49 CFR 24.101(b) which states: “</w:t>
      </w:r>
      <w:r>
        <w:rPr>
          <w:rFonts w:ascii="Times New Roman" w:hAnsi="Times New Roman" w:cs="Times New Roman"/>
          <w:i/>
          <w:iCs/>
          <w:sz w:val="16"/>
          <w:szCs w:val="16"/>
        </w:rPr>
        <w:t>Less-than-full-fee interest in real property</w:t>
      </w:r>
      <w:r>
        <w:rPr>
          <w:rFonts w:ascii="Times New Roman" w:hAnsi="Times New Roman" w:cs="Times New Roman"/>
          <w:sz w:val="16"/>
          <w:szCs w:val="16"/>
        </w:rPr>
        <w:t xml:space="preserve">.  This provision provides a benchmark beyond which the requirements of the subpart clearly apply to leases.  However, the agency may apply the regulations to any less-than-full-fee-acquisition which is short of 50 years but which in its judgment should be covered.”  Leases with less-than-50-year-periods and less-than-permanent easements can confer most of the rights of full-fee ownership at most of the market value, especially if they serve to prevent residential or commercial development (as do most NAWCA conservation easements) in an area prone to such pressures.  Therefore, the applicability of the requirements of 49 CFR, part 24, should be based on the specified threshold of estimated market value and the complexity of the valuation problem, and not the length of the lease or easement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(l) The 10 years-or-longer threshold for recording a term lease or term easement in real property is based on two considerations in John W. Reilly’s Language of Real Estate (1993): long-term leases are those that are “generally 10 years and longer”, a lease is not recorded unless it is “for a relatively long-term (three years or more) or is security for a mortgage”.  Ten years was selected because it is a recognized division between long- and short-term leases.  It will protect the vast majority of real property interests acquired under NAWCA (probably in excess of 99.9 percent) while minimizing costs for staff time and recording fees for short-term and relatively low-value real property interests.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(m) The Notice of Relocation Eligibility is required at 49 CFR 24.203.  The recipient cannot exempt itself from obligations to tenants even if the recipient qualifies under the 49 CFR 24.101(a)(1) exception process as a result of the definition of</w:t>
      </w:r>
      <w:r>
        <w:rPr>
          <w:rFonts w:ascii="Times New Roman" w:hAnsi="Times New Roman" w:cs="Times New Roman"/>
          <w:i/>
          <w:iCs/>
          <w:sz w:val="16"/>
          <w:szCs w:val="16"/>
        </w:rPr>
        <w:t xml:space="preserve"> Persons not displaced</w:t>
      </w:r>
      <w:r>
        <w:rPr>
          <w:rFonts w:ascii="Times New Roman" w:hAnsi="Times New Roman" w:cs="Times New Roman"/>
          <w:sz w:val="16"/>
          <w:szCs w:val="16"/>
        </w:rPr>
        <w:t xml:space="preserve"> at 49 CFR 24.2.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(n) The Notice of Property Restriction is authorized for institutions of higher education, hospitals, and other nonprofit organizations by 43 CFR 12.937 which states:  “Agencies may require recipients to record liens or other appropriate notices of records to indicate that personnel or real property has been acquired or improved with Federal funds and that use and disposition conditions apply to the property.”  Section 6 of NAWCA authorizes a Notice of Property Restriction or something very similar to it in the following provision: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Since all recorded documents, including the Notices of Grant Agreement, are filed chronologically and cross referenced to deeds, there is no need to have a separate Notice of Property Restriction for every interest in real property acquired under the NAWCA project.  Therefore, for each jurisdiction of an individual recorder’s office, one Notice of Property Restriction cross referencing each interest acquired in that jurisdiction will suffice.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16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1-8.   What are the rules for any purchase of land with Federal or matching funds that closes after USFWS receives the proposal and does </w:t>
      </w:r>
      <w:r>
        <w:rPr>
          <w:rFonts w:ascii="Times New Roman" w:hAnsi="Times New Roman" w:cs="Times New Roman"/>
          <w:b/>
          <w:bCs/>
          <w:sz w:val="20"/>
          <w:szCs w:val="20"/>
          <w:u w:val="single"/>
        </w:rPr>
        <w:t>not</w:t>
      </w:r>
      <w:r>
        <w:rPr>
          <w:rFonts w:ascii="Times New Roman" w:hAnsi="Times New Roman" w:cs="Times New Roman"/>
          <w:b/>
          <w:bCs/>
          <w:sz w:val="20"/>
          <w:szCs w:val="20"/>
        </w:rPr>
        <w:t xml:space="preserve"> qualify for the 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If a recipient or subrecipient buys land with either Federal grant or matching funds, it must adhere to the basic (or standard) acquisition process in 49 CFR, part 24, if the acquisition of real property does not qualify for the 49 CFR 24.101(a) exception process, </w:t>
      </w:r>
      <w:r>
        <w:rPr>
          <w:rFonts w:ascii="Times New Roman" w:hAnsi="Times New Roman" w:cs="Times New Roman"/>
          <w:sz w:val="20"/>
          <w:szCs w:val="20"/>
          <w:u w:val="single"/>
        </w:rPr>
        <w:t>and</w:t>
      </w:r>
      <w:r>
        <w:rPr>
          <w:rFonts w:ascii="Times New Roman" w:hAnsi="Times New Roman" w:cs="Times New Roman"/>
          <w:sz w:val="20"/>
          <w:szCs w:val="20"/>
        </w:rPr>
        <w:t xml:space="preserve"> the recipient or subrecipient takes title after USFWS receives the proposal.  The requirements of the basic (or standard) acquisition process include (but are not limited to) the following requirements in addition to those listed elsewhere in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The prospective buyer of real property must send the landowner of the real property a Notice to the Owner as soon as feasible.  In this Notice, the owner shall be notified of the Agency’s interest in acquiring the real property and the basic protections, including the </w:t>
      </w:r>
      <w:r>
        <w:rPr>
          <w:rFonts w:ascii="Times New Roman" w:hAnsi="Times New Roman" w:cs="Times New Roman"/>
          <w:sz w:val="20"/>
          <w:szCs w:val="20"/>
        </w:rPr>
        <w:lastRenderedPageBreak/>
        <w:t>agency’s obligation to secure an appraisal, provided to the owner by law and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(b) The prospective buyer must have a qualified reviewing appraiser examine all appraisals to assure that they meet applicable appraisal requirements and must, prior to acceptance, seek necessary corrections or revisions.  The review appraiser’s certification of the recommended or approved value of the property must be set forth in a signed statement which identifies the appraisal reports reviewed and explains the basis for such recommendation or approval.  Any damages or benefits to any remaining property must also be identified in the statement.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The prospective buyer must send a Summary Statement of Just Compensation to the owner that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 xml:space="preserve">(i) offers to buy the real property, offers to buy the real property subject to a due diligence period, or offers to enter into an option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(ii) states the amount offered as just compensation and, in the case of a partial acquisition, states separately the compensation for the real property to be acquired and the compensation for damages, if any, to the remaining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 xml:space="preserve">(iii) includes a description and location identification of the real property and the interest in real property to be acquired,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(iv) identifies the buildings, structures, and other improvements (including removable building equipment and trade fixtures) which are considered to be part of the real property for which the offer of just compensation is made and, where appropriate, the statement shall identify any separately held interest in the property, e.g., a tenant-owned improvement, and indicate that such interest is not covered by the offer.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prospective buyer must personally serve or send the Summary Statement of Just Compensation by certified or registered first-class mail, return receipt requested, and must document it in the buyer’s files.  The Summary Statement of Just Compensation is valid for six months.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(d) The seller of real property must be reimbursed for all reasonable expenses the landowner necessarily incurred for: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 xml:space="preserve">(i) Recording fees, transfer taxes, documentary stamps, evidence of title, boundary surveys, legal descriptions of the real property, and similar expenses incidental to conveying the real property to the buyer.  However, the buyer is not required to pay costs solely required to perfect the owner’s title to the real property;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(ii) Penalty costs and other charges for prepayment of any preexisting recorded mortgage entered into in good faith encumbering the property;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(iii) the pro rata portion of any prepaid real property taxes which are allocable to the period after the Agency obtains title to the property or effective possession of it, whichever is earlier.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(e) Whenever feasible, the buyer must pay these costs directly so that the landowner will not have to pay such costs and then seek reimbursement.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540" w:right="54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(f)  If a landowner or the landowner’s family resides on real property for which the buyer will acquire title after USFWS receives the proposal, or has personal property that needs to be relocated from the same, the buyer must provide relocation assistance advice, a notice of relocation eligibility, and relocation assistance to displaced tenant(s) as required in 49 CFR, part 24.  The Notice of Relocation Eligibility must have the same contents and be handled the same way as described elsewhere in this Policy for tenants.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(a)  This requirement is the result of provisions at 49 CFR 24.102(b).</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USFWS Director’s Order No. 170 authorized the use of an administrative valuation formula for minimally restrictive wetland and grassland easements in the Prairie Pothole Region.  It became effective on April 22, 2004, and will expire on June 30, 2005, unless amended, superceded, or rescinded.  The Order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20"/>
          <w:szCs w:val="20"/>
        </w:rPr>
      </w:pPr>
      <w:r>
        <w:rPr>
          <w:rFonts w:ascii="Times New Roman" w:hAnsi="Times New Roman" w:cs="Times New Roman"/>
          <w:sz w:val="16"/>
          <w:szCs w:val="16"/>
        </w:rPr>
        <w:t>The rules implementing Pub. L. 91-646 provide exceptions for application of the law to land acquisition that is voluntary.  There are four conditions that must be met for a transaction to be considered voluntary.  All four are met by the Service’s minimally restrictive conservation easement acquisitions program; therefore Pub. L. 91-646 exemption provisions apply and all minimally-restrictive conservation easements are exempt from the appraisal process.</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(b). This requirement is the result of provisions at 49 CFR 24.104.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This requirement is the result of provisions at 49 CFR 24.102(e).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(d)  This requirement is the result of provisions at 49 CFR 24.106(a).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(e)    This requirement is the result of provisions at 49 CFR 24.106(b).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(f)  This requirement is the result of applicability provisions at 49 CFR 24.202, 49 CFR 24.301, 49 CFR 24.401, 49 CFR 24.501, and the definition of</w:t>
      </w:r>
      <w:r>
        <w:rPr>
          <w:rFonts w:ascii="Times New Roman" w:hAnsi="Times New Roman" w:cs="Times New Roman"/>
          <w:i/>
          <w:iCs/>
          <w:sz w:val="16"/>
          <w:szCs w:val="16"/>
        </w:rPr>
        <w:t xml:space="preserve"> Persons not displaced</w:t>
      </w:r>
      <w:r>
        <w:rPr>
          <w:rFonts w:ascii="Times New Roman" w:hAnsi="Times New Roman" w:cs="Times New Roman"/>
          <w:sz w:val="16"/>
          <w:szCs w:val="16"/>
        </w:rPr>
        <w:t xml:space="preserve"> at 49 CFR 24.2. which makes reference to 49 CFR 24.101(a)(1).</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I-9. </w:t>
      </w:r>
      <w:r>
        <w:rPr>
          <w:rFonts w:ascii="Times New Roman" w:hAnsi="Times New Roman" w:cs="Times New Roman"/>
          <w:sz w:val="20"/>
          <w:szCs w:val="20"/>
        </w:rPr>
        <w:t xml:space="preserve"> </w:t>
      </w:r>
      <w:r>
        <w:rPr>
          <w:rFonts w:ascii="Times New Roman" w:hAnsi="Times New Roman" w:cs="Times New Roman"/>
          <w:b/>
          <w:bCs/>
          <w:sz w:val="20"/>
          <w:szCs w:val="20"/>
        </w:rPr>
        <w:t>If a third party acquires real property with the intention of ultimately conveying it to a NAWCA recipient or subrecipient for a NAWCA project, is the third party’s acquisition subject to the Uniform Relocation Assistance and Real Property Acquisition Policies Act of 1970?</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Times New Roman" w:hAnsi="Times New Roman" w:cs="Times New Roman"/>
          <w:sz w:val="20"/>
          <w:szCs w:val="20"/>
        </w:rPr>
        <w:t>If a third party acquires real property with the intention of ultimately conveying it to a NAWCA recipient or subrecipient for a NAWCA project, the third party’s acquisition is not subject to the Uniform Relocation Assistance and Real Property Acquisition Policies Act of 1970, as implemented in 49 CFR, part 24,</w:t>
      </w:r>
      <w:r>
        <w:rPr>
          <w:rFonts w:ascii="Sakkal Majalla" w:hAnsi="Sakkal Majalla" w:cs="Sakkal Majalla"/>
          <w:sz w:val="20"/>
          <w:szCs w:val="20"/>
        </w:rPr>
        <w:t xml:space="preserve"> provided the purchase closes </w:t>
      </w:r>
      <w:r>
        <w:rPr>
          <w:rFonts w:ascii="Sakkal Majalla" w:hAnsi="Sakkal Majalla" w:cs="Sakkal Majalla"/>
          <w:sz w:val="20"/>
          <w:szCs w:val="20"/>
          <w:u w:val="single"/>
        </w:rPr>
        <w:t>before</w:t>
      </w:r>
      <w:r>
        <w:rPr>
          <w:rFonts w:ascii="Sakkal Majalla" w:hAnsi="Sakkal Majalla" w:cs="Sakkal Majalla"/>
          <w:sz w:val="20"/>
          <w:szCs w:val="20"/>
        </w:rPr>
        <w:t xml:space="preserve"> USFWS receives the proposal.  Thus the seller of the real property would not be </w:t>
      </w:r>
      <w:r>
        <w:rPr>
          <w:rFonts w:ascii="Sakkal Majalla" w:hAnsi="Sakkal Majalla" w:cs="Sakkal Majalla"/>
          <w:sz w:val="20"/>
          <w:szCs w:val="20"/>
        </w:rPr>
        <w:lastRenderedPageBreak/>
        <w:t xml:space="preserve">entitled to the assistance and protections provided to displaced persons under 49 CFR, part 24, and the buyer would not be subject to the requirements of the 49 CFR 24.101(a) exception acquisition process or the basic (or standard) acquisition process of 49 CFR, part 24.  Nevertheless, in order to acquire the property with grant funds or a matching cash contribution or to accept it as a matching in-kind contribution, the NAWCA recipient must have identified in the project proposal at the time of application: (a) the name of the third party; (b) when the third party bought the property, and (c) what the third party paid for the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sz w:val="20"/>
          <w:szCs w:val="20"/>
        </w:rPr>
        <w:t xml:space="preserve">Conversely, if a third party purchases real property with the intention of selling it to a NAWCA grant recipient or subrecipient for use on the NAWCA project, the transaction </w:t>
      </w:r>
      <w:r>
        <w:rPr>
          <w:rFonts w:ascii="Sakkal Majalla" w:hAnsi="Sakkal Majalla" w:cs="Sakkal Majalla"/>
          <w:sz w:val="20"/>
          <w:szCs w:val="20"/>
          <w:u w:val="single"/>
        </w:rPr>
        <w:t>is</w:t>
      </w:r>
      <w:r>
        <w:rPr>
          <w:rFonts w:ascii="Sakkal Majalla" w:hAnsi="Sakkal Majalla" w:cs="Sakkal Majalla"/>
          <w:sz w:val="20"/>
          <w:szCs w:val="20"/>
        </w:rPr>
        <w:t xml:space="preserve"> subject to 49 CFR, part 24, if the purchase closes </w:t>
      </w:r>
      <w:r>
        <w:rPr>
          <w:rFonts w:ascii="Sakkal Majalla" w:hAnsi="Sakkal Majalla" w:cs="Sakkal Majalla"/>
          <w:sz w:val="20"/>
          <w:szCs w:val="20"/>
          <w:u w:val="single"/>
        </w:rPr>
        <w:t>after</w:t>
      </w:r>
      <w:r>
        <w:rPr>
          <w:rFonts w:ascii="Sakkal Majalla" w:hAnsi="Sakkal Majalla" w:cs="Sakkal Majalla"/>
          <w:sz w:val="20"/>
          <w:szCs w:val="20"/>
        </w:rPr>
        <w:t xml:space="preserve"> USFWS receives the proposal.  Thus the seller of the real property would be entitled to the benefits provided to displaced persons under 49 CFR, part 24, and the buyer would be subject to the requirements of the 49 CFR 24.101(a) exception acquisition process or the basic (or standard) acquisition process of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following are relevant to the issue of a nonprofit’s acquisition of land with the intent of conveying the land to a federal grant 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Department of Transportation (DOT), Federal Highway Administration, Federal Aid Policy Guide, Transmittal 26, No. 5, June 22, 1999,  addresses the applicability of 49 CFR, part 24, to a nonprofit's acquisition of land for resale to a Federal grant recipient: </w:t>
      </w:r>
    </w:p>
    <w:p w:rsidR="001F0636" w:rsidRDefault="001F0636">
      <w:pPr>
        <w:pStyle w:val="Level6"/>
        <w:tabs>
          <w:tab w:val="left" w:pos="-480"/>
          <w:tab w:val="left" w:pos="0"/>
          <w:tab w:val="left" w:pos="90"/>
          <w:tab w:val="left" w:pos="180"/>
          <w:tab w:val="left" w:pos="270"/>
          <w:tab w:val="left" w:pos="360"/>
          <w:tab w:val="left" w:pos="540"/>
          <w:tab w:val="num" w:pos="720"/>
          <w:tab w:val="left" w:pos="900"/>
          <w:tab w:val="left" w:pos="1080"/>
        </w:tabs>
        <w:rPr>
          <w:sz w:val="20"/>
          <w:szCs w:val="20"/>
        </w:rPr>
      </w:pPr>
      <w:r>
        <w:rPr>
          <w:sz w:val="20"/>
          <w:szCs w:val="20"/>
        </w:rPr>
        <w:t xml:space="preserve">The acquisition activities of NPO’s [nonprofit organizations] are subject to UA [Uniform Relocation Assistance and Real Property Acquisition Policies Act of 1970] coverage if such activities are for a Federal or federally assisted program or project.  Pertinent considerations are (1) the intent of the NPO and the agency  ultimately to convey property obtained by the NPO to the agency and 2) the agency’s intent to use the property conveyed for a Federal or federally assisted project.  If these two considerations determine that the property will ultimately be used for a Federal or federally assisted project, then the UA applies. </w:t>
      </w:r>
    </w:p>
    <w:p w:rsidR="001F0636" w:rsidRDefault="001F0636">
      <w:pPr>
        <w:pStyle w:val="Level1"/>
        <w:numPr>
          <w:ilvl w:val="0"/>
          <w:numId w:val="23"/>
        </w:numPr>
        <w:tabs>
          <w:tab w:val="left" w:pos="-480"/>
          <w:tab w:val="left" w:pos="0"/>
          <w:tab w:val="left" w:pos="90"/>
          <w:tab w:val="left" w:pos="180"/>
          <w:tab w:val="left" w:pos="270"/>
          <w:tab w:val="left" w:pos="360"/>
          <w:tab w:val="left" w:pos="540"/>
          <w:tab w:val="num" w:pos="720"/>
          <w:tab w:val="left" w:pos="900"/>
          <w:tab w:val="left" w:pos="1080"/>
        </w:tabs>
        <w:rPr>
          <w:sz w:val="20"/>
          <w:szCs w:val="20"/>
        </w:rPr>
      </w:pPr>
      <w:r>
        <w:rPr>
          <w:sz w:val="20"/>
          <w:szCs w:val="20"/>
        </w:rPr>
        <w:t>An NPO that conveys land to an agency for a Federal or federally assisted project is not an owner or displaced person, for the NPO is acting cooperatively with the agency to advance the program or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t xml:space="preserve">49 CFR 24.2 </w:t>
      </w:r>
      <w:r>
        <w:rPr>
          <w:i/>
          <w:iCs/>
          <w:sz w:val="20"/>
          <w:szCs w:val="20"/>
        </w:rPr>
        <w:t>Program or project.</w:t>
      </w:r>
      <w:r>
        <w:rPr>
          <w:sz w:val="20"/>
          <w:szCs w:val="20"/>
        </w:rPr>
        <w:t xml:space="preserve">  The phrase </w:t>
      </w:r>
      <w:r>
        <w:rPr>
          <w:i/>
          <w:iCs/>
          <w:sz w:val="20"/>
          <w:szCs w:val="20"/>
        </w:rPr>
        <w:t>program or project</w:t>
      </w:r>
      <w:r>
        <w:rPr>
          <w:sz w:val="20"/>
          <w:szCs w:val="20"/>
        </w:rPr>
        <w:t xml:space="preserve"> means any activity or series of activities undertaken by a Federal agency or with Federal financial assistance received </w:t>
      </w:r>
      <w:r>
        <w:rPr>
          <w:sz w:val="20"/>
          <w:szCs w:val="20"/>
          <w:u w:val="single"/>
        </w:rPr>
        <w:t>or anticipated</w:t>
      </w:r>
      <w:r>
        <w:rPr>
          <w:sz w:val="20"/>
          <w:szCs w:val="20"/>
        </w:rPr>
        <w:t xml:space="preserve"> </w:t>
      </w:r>
      <w:r>
        <w:rPr>
          <w:i/>
          <w:iCs/>
          <w:sz w:val="20"/>
          <w:szCs w:val="20"/>
        </w:rPr>
        <w:t>[emphasis added]</w:t>
      </w:r>
      <w:r>
        <w:rPr>
          <w:sz w:val="20"/>
          <w:szCs w:val="20"/>
        </w:rPr>
        <w:t xml:space="preserve"> in any phase of an undertaking in accordance with the Federal funding agency guidelines.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t xml:space="preserve">Ninth Circuit Court Case, La Raza Unida v. Volpe, 488 F2d 559 (1973):  “All the protections that Congress sought to establish would be futile gestures were a State able to ignore the spirit (and letter) of the various acts and regulations until it actually receives Federal funds.”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sectPr w:rsidR="001F0636">
          <w:type w:val="continuous"/>
          <w:pgSz w:w="12240" w:h="15840"/>
          <w:pgMar w:top="540" w:right="54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sz w:val="20"/>
          <w:szCs w:val="20"/>
        </w:rPr>
        <w:lastRenderedPageBreak/>
        <w:t xml:space="preserve">Comptroller General’s Opinion, March 25, 1976, EPA request: “ We would recommend that EPA promulgate regulations providing that waste treatment works construction grants cannot be approved without a showing by the applicant that, at the time it acquired land for the purpose of construction . . ., it complied with the provisions of the Relocation Act. .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72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Report of the Committee on Public Works, House of Representatives to accompany S.1 Uniform Relocation Assistance and Real Property Acquisition Policies Act of 1970 (House Report No. 91-1656), December 2, 1970: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270"/>
        <w:rPr>
          <w:rFonts w:ascii="Times New Roman" w:hAnsi="Times New Roman" w:cs="Times New Roman"/>
          <w:sz w:val="16"/>
          <w:szCs w:val="16"/>
        </w:rPr>
      </w:pPr>
      <w:r>
        <w:rPr>
          <w:rFonts w:ascii="Times New Roman" w:hAnsi="Times New Roman" w:cs="Times New Roman"/>
          <w:sz w:val="16"/>
          <w:szCs w:val="16"/>
        </w:rPr>
        <w:t xml:space="preserve">It is immaterial whether the real property is acquired before or after the effective date of the bill, or by Federal or State agency; or whether Federal funds contribute to the cost of the real property.  The controlling point is that the real property must be acquired for a Federal or Federal financially assisted program or project.  For example: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270"/>
        <w:rPr>
          <w:rFonts w:ascii="Times New Roman" w:hAnsi="Times New Roman" w:cs="Times New Roman"/>
          <w:sz w:val="16"/>
          <w:szCs w:val="16"/>
        </w:rPr>
      </w:pPr>
      <w:r>
        <w:rPr>
          <w:rFonts w:ascii="Times New Roman" w:hAnsi="Times New Roman" w:cs="Times New Roman"/>
          <w:sz w:val="16"/>
          <w:szCs w:val="16"/>
        </w:rPr>
        <w:t xml:space="preserve">. . . (b) Post Office Department witnesses before the committee called attention to the fact that although the Department’s construction requirements involve about 1,000 buildings annually, the postal building program, as such, accounts for only a few construction starts each year.  Occasionally, the Department acquires the site and transfers it to the successful bidder for construction and lease back to the Department.  In most cases, however, building sites are obtained through the Department’s leasing authority.  Usually these sites are controlled through an option procedure with title neither vesting in or passing through the Post office Department.  Instead the option is assigned to a successful bidder who becomes the owner of the land, and the Department’s long-term lessor.  Some of these sites are for large postal facilities to be constructed in metropolitan areas where the only available and suitable land is occupied by numerous low-income individuals and families and by small businesses.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270"/>
        <w:rPr>
          <w:rFonts w:ascii="Times New Roman" w:hAnsi="Times New Roman" w:cs="Times New Roman"/>
          <w:sz w:val="16"/>
          <w:szCs w:val="16"/>
        </w:rPr>
      </w:pPr>
      <w:r>
        <w:rPr>
          <w:rFonts w:ascii="Times New Roman" w:hAnsi="Times New Roman" w:cs="Times New Roman"/>
          <w:sz w:val="16"/>
          <w:szCs w:val="16"/>
        </w:rPr>
        <w:t>It makes no difference to a person required to move because of the development of a postal facility, or who acquires the site or holds the fee title to the property.  Since the end product is the same, a facility which serves the public and is regarded by the public as a public building, any person so required to move is a displaced person entitled to the benefits of this legislation.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A DOI Solicitor’s Opinion on the subject of “Inspector General’s Report on land Acquisitions” signed by Thomas L. Sansonetti and dated July 30, 1992, determined that Federal land acquisition regulations did not apply to a nonprofit organization’s acquisition of land for eventual conveyance to a Federal program or project.  Based on the informal advice of the Solicitor’s Office, the NAWCA Grants Program relies most heavily on this 1992 Opinion to guide its policy on this issue instead of the contradictory implications or guidance of the sources cited above.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720"/>
        <w:rPr>
          <w:rFonts w:ascii="Times New Roman" w:hAnsi="Times New Roman" w:cs="Times New Roman"/>
          <w:sz w:val="16"/>
          <w:szCs w:val="16"/>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Sakkal Majalla" w:hAnsi="Sakkal Majalla" w:cs="Sakkal Majalla"/>
          <w:b/>
          <w:bCs/>
          <w:sz w:val="20"/>
          <w:szCs w:val="20"/>
        </w:rPr>
      </w:pPr>
      <w:r>
        <w:rPr>
          <w:rFonts w:ascii="Sakkal Majalla" w:hAnsi="Sakkal Majalla" w:cs="Sakkal Majalla"/>
          <w:b/>
          <w:bCs/>
          <w:sz w:val="20"/>
          <w:szCs w:val="20"/>
        </w:rPr>
        <w:t xml:space="preserve">I-10.   If a third party acquires real property with the intention of ultimately conveying it to a NAWCA recipient or subrecipient for a NAWCA project, is the third party entitled to the assistance and protections afforded to displaced persons by </w:t>
      </w:r>
      <w:r>
        <w:rPr>
          <w:rFonts w:ascii="Times New Roman" w:hAnsi="Times New Roman" w:cs="Times New Roman"/>
          <w:b/>
          <w:bCs/>
          <w:sz w:val="20"/>
          <w:szCs w:val="20"/>
        </w:rPr>
        <w:t>the Uniform Relocation Assistance and Real Property Acquisition Policies Act of 1970 when it sells to the recipient or subrecipient?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 xml:space="preserve">If a third party acquires real property with the intention of ultimately conveying it to a NAWCA recipient or subrecipient for a NAWCA project, the third party is entitled to the assistance and protections afforded to displaced persons under the Uniform Relocation Assistance and Real Property Acquisition Policies Act of 1970 (as implemented in 49 CFR, part 24) when it sells to the recipient or subrecipient as long as the third party's purchase of the land closed </w:t>
      </w:r>
      <w:r>
        <w:rPr>
          <w:rFonts w:ascii="Sakkal Majalla" w:hAnsi="Sakkal Majalla" w:cs="Sakkal Majalla"/>
          <w:sz w:val="20"/>
          <w:szCs w:val="20"/>
          <w:u w:val="single"/>
        </w:rPr>
        <w:t>before</w:t>
      </w:r>
      <w:r>
        <w:rPr>
          <w:rFonts w:ascii="Sakkal Majalla" w:hAnsi="Sakkal Majalla" w:cs="Sakkal Majalla"/>
          <w:sz w:val="20"/>
          <w:szCs w:val="20"/>
        </w:rPr>
        <w:t xml:space="preserve"> USFWS received the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Sakkal Majalla" w:hAnsi="Sakkal Majalla" w:cs="Sakkal Majalla"/>
          <w:sz w:val="20"/>
          <w:szCs w:val="20"/>
        </w:rPr>
        <w:t xml:space="preserve">If a third party acquires land with the intention of conveying it to a NAWCA recipient or subrecipient, and conveys it accordingly, the third party is not entitled to the assistance or protections afforded to displaced persons by 49 CFR, part 24, if the purchase closed </w:t>
      </w:r>
      <w:r>
        <w:rPr>
          <w:rFonts w:ascii="Sakkal Majalla" w:hAnsi="Sakkal Majalla" w:cs="Sakkal Majalla"/>
          <w:sz w:val="20"/>
          <w:szCs w:val="20"/>
          <w:u w:val="single"/>
        </w:rPr>
        <w:t>after</w:t>
      </w:r>
      <w:r>
        <w:rPr>
          <w:rFonts w:ascii="Sakkal Majalla" w:hAnsi="Sakkal Majalla" w:cs="Sakkal Majalla"/>
          <w:sz w:val="20"/>
          <w:szCs w:val="20"/>
        </w:rPr>
        <w:t xml:space="preserve"> USFWS received the proposal because the nonprofit organization or other third party is presumed to be acting cooperatively with the recipient or subrecipient to advance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Department of Transportation (DOT), Federal Highway Administration, Federal Aid Policy Guide, Transmittal 26, No. 5, June 22, 1999,  addresses the applicability of 49 CFR, part 24, to a nonprofit's acquisition of land for resale to a Federal grant recipient: </w:t>
      </w:r>
    </w:p>
    <w:p w:rsidR="001F0636" w:rsidRDefault="001F0636">
      <w:pPr>
        <w:pStyle w:val="Level1"/>
        <w:numPr>
          <w:ilvl w:val="0"/>
          <w:numId w:val="24"/>
        </w:numPr>
        <w:tabs>
          <w:tab w:val="left" w:pos="-480"/>
          <w:tab w:val="left" w:pos="0"/>
          <w:tab w:val="left" w:pos="90"/>
          <w:tab w:val="left" w:pos="180"/>
          <w:tab w:val="left" w:pos="270"/>
          <w:tab w:val="left" w:pos="360"/>
          <w:tab w:val="left" w:pos="540"/>
          <w:tab w:val="num" w:pos="720"/>
          <w:tab w:val="left" w:pos="900"/>
          <w:tab w:val="left" w:pos="1080"/>
        </w:tabs>
        <w:rPr>
          <w:sz w:val="20"/>
          <w:szCs w:val="20"/>
        </w:rPr>
      </w:pPr>
      <w:r>
        <w:rPr>
          <w:sz w:val="20"/>
          <w:szCs w:val="20"/>
        </w:rPr>
        <w:t xml:space="preserve">An NPO that conveys land to an agency for a Federal or federally assisted project is not an owner or displaced person, for the NPO is acting cooperatively with the agency to advance the program or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t xml:space="preserve">The NAWCA Grants Program does not apply the above DOT nonregulatory policy to grants in its program because .  This  is based on informal advice by the DOI Solicitor’s Office, which in turn is based on a Solicitor’s Opinion signed by Thomas L. Sansonetti on the subject of the Inspector General’s Report on land acquisition and dated July 30, 1992.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Sakkal Majalla" w:hAnsi="Sakkal Majalla" w:cs="Sakkal Majalla"/>
          <w:b/>
          <w:bCs/>
          <w:sz w:val="20"/>
          <w:szCs w:val="20"/>
        </w:rPr>
      </w:pPr>
      <w:r>
        <w:rPr>
          <w:rFonts w:ascii="Sakkal Majalla" w:hAnsi="Sakkal Majalla" w:cs="Sakkal Majalla"/>
          <w:b/>
          <w:bCs/>
          <w:sz w:val="20"/>
          <w:szCs w:val="20"/>
        </w:rPr>
        <w:t>I-11.   May I purchase real property for more than the fair market value?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A buyer may purchase land for more than the fair market value only if: (a) the amount above the value determined by an appraisal or another authorized method is not paid by the NAWCA grant or by any other Federal source either directly or indirectly; (b) the amount above the value determined by an appraisal or another authorized method has not been used as a matching in-kind contribution for the NAWCA project; ©) matching cash contributions to the NAWCA project or any other federally assisted project have not been used to pay the amount above the value determined by an appraisal or another authorized method.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sectPr w:rsidR="001F0636">
          <w:type w:val="continuous"/>
          <w:pgSz w:w="12240" w:h="15840"/>
          <w:pgMar w:top="450" w:right="54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Sakkal Majalla" w:hAnsi="Sakkal Majalla" w:cs="Sakkal Majalla"/>
          <w:sz w:val="16"/>
          <w:szCs w:val="16"/>
        </w:rPr>
        <w:lastRenderedPageBreak/>
        <w:t>49 CFR, 24.101(a), states: “The requirements of this subpart apply to any acquisition of real property for a Federal program or project , and to programs and  projects where there is Federal financial assistance in any part of project costs. . .”   Since 49 CFR 24.102(d) requires NAWCA grant recipients to offer “not less than the approved appraisal of the fair market value of the property, taking into account the value of allowable damages or benefits to any remaining property”, the acquisition price of real property that includes any Federal grant funds must be at least equal to the approved appraisal of the fair market value.  This does not preclude paying more than the approved appraisal of the fair market value, but 49 CFR 24.101(i) states: “The purchase price for the property may exceed the amount offered as just compensation when reasonable efforts to negotiate an agreement at that amount have failed and an authorized Agency official approves such administrative settlement as being reasonable, prudent and in the public interest.”   This indicates that the grant recipient may not generally pay more than the approved appraised value, but it also leaves open the possibility of paying more than the approved appraised value if an authorized agency official approves and if it is reasonable, prudent , and in the public interest.</w:t>
      </w:r>
      <w:r>
        <w:rPr>
          <w:rFonts w:ascii="Times New Roman" w:hAnsi="Times New Roman" w:cs="Times New Roman"/>
          <w:sz w:val="16"/>
          <w:szCs w:val="16"/>
        </w:rPr>
        <w:t xml:space="preserve">  49 CFR 24.101(i) notwithstanding, the NAWCA Grants Program will not pay more than the fair market value as a policy decision.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Federal Cost Principles do not seem to apply to funds that are not of Federal grant or match origin.  The applicability statement s of the Federal Cost Principles are as follows: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Nonprofit Organizations, OMB Circular A-122, section 1 states: “This Circular establishes principles for determining costs of grants, contracts, and other agreements with nonprofit organizations”.  OMB Circular A-122, section 3, states: “ These principles shall be used by all Federal agencies in determining the costs of work performed by nonprofit organizations under grants, cooperative agreements, cost reimbursement contracts, and other contracts in which costs are used in pricing, administration, or settlement.”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section 1, states: “This Circular establishes principles and standards for determining costs for Federal awards carried out through grants, cost reimbursement contracts, and other agreements with State and local governments and federally recognized Indian Tribal governments (governmental units).”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Educational Institutions, OMB Circular A-21, section 1, states: This Circular establishes principles for determining costs applicable to grants, contracts, and other agreements with educational institutions.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I-12.   Can I base the market value of part of a tract of land on the average value of all the acres in the undivided tract?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sz w:val="20"/>
          <w:szCs w:val="20"/>
        </w:rPr>
        <w:lastRenderedPageBreak/>
        <w:t xml:space="preserve">The market value of part of a large tract of land may not be based on the average value of all the acres in the large tract because the average value of an acre of the large tract would not necessarily be the same as the average value of an acre of any part of that larger tract.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market value of a portion of a large tract of land may not be based on the average value of all the acres in the large tract, in part, because of the potential for significant differences between the different parts of the large tract.  These potential differences could include improvements, soils, timber, drainage, elevation, road frontage, and water body frontage.  The portion of the large tract may also have more limited potential economic uses than the larger tract.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Using the average value of all the acres in a large tract to estimate the market value of a portion of that tract would also not take into consideration the value of the damages and benefits, if any , to the remaining real property, which is required by the following provisions of 49 CFR, part 24: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49 CFR 24.103(a)(5) requires the appraisal to contain: “A statement of the value of the real property to be acquired and, for a partial acquisition, a statement of the value of damages and benefits, if any, to the remaining real property where appropriate.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49 CFR 24.102 (d) provides: “The amount [of just compensation for real property] shall not be less than the approved appraisal of the fair market value of the property, taking into account the value of allowable damages or benefits to any remaining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hanging="90"/>
        <w:rPr>
          <w:rFonts w:ascii="Times New Roman" w:hAnsi="Times New Roman" w:cs="Times New Roman"/>
          <w:sz w:val="20"/>
          <w:szCs w:val="20"/>
        </w:rPr>
      </w:pPr>
      <w:r>
        <w:rPr>
          <w:rFonts w:ascii="Times New Roman" w:hAnsi="Times New Roman" w:cs="Times New Roman"/>
          <w:sz w:val="16"/>
          <w:szCs w:val="16"/>
        </w:rPr>
        <w:t xml:space="preserve">49CFR 24.102(e)(1) provides the following qualification with respect to the required elements of a Summary Statement of Just Compensation: “In the case of a partial acquisition, the compensation for the real property to be acquired and the compensation for damages, if any, to the remaining real property shall be separately stated.”       </w:t>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I-13.   May I buy land or offer it as match if it is subject to a Wetland Reserve easement or enrolled in the Conservation Reserve Program?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NAWCA grant recipient or subrecipient may buy real property or offer it as match if it is subject to an existing easement under the Wetland Reserve Program or a contract under the Conservation Reserve Program as long as the appraisal explicitly takes the easement or contract  into account in determining the fair market value of the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basis of the above requirement is 49 CFR 24.3, which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ight="270"/>
        <w:rPr>
          <w:rFonts w:ascii="Times New Roman" w:hAnsi="Times New Roman" w:cs="Times New Roman"/>
          <w:sz w:val="20"/>
          <w:szCs w:val="20"/>
        </w:rPr>
      </w:pPr>
      <w:r>
        <w:rPr>
          <w:rFonts w:ascii="Times New Roman" w:hAnsi="Times New Roman" w:cs="Times New Roman"/>
          <w:sz w:val="16"/>
          <w:szCs w:val="16"/>
        </w:rPr>
        <w:t>No person shall receive any payment under this part if that person receives a payment under Federal, State, or local law which is determined by the Agency to have the same purpose and effect as such payment under this part.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08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I-14.   Is a tenant eligible for relocation benefits when the tenant’s lease expires?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 xml:space="preserve">A tenant is eligible for relocation benefits on the date of initiation of negotiations for the occupied property.  Any lease, or lack thereof, between the tenant and landowner is irrelevant to the tenant’s eligibility for benefits.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49 CFR 24.203(b) states: “Eligibility for relocation assistance shall begin on the date of initiation of negotiations”  Initiation of negotiations” is defined in 49 CFR 24.2 and in the Definitions section of this policy.  See also the quotation from 49 CFR 24.206 in the Commentary to the question and answer below.</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54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I-15.   May a landowner evict a tenant after initiating negotiations with a buyer, but before committing to the sale?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Times New Roman" w:hAnsi="Times New Roman" w:cs="Times New Roman"/>
          <w:sz w:val="20"/>
          <w:szCs w:val="20"/>
        </w:rPr>
        <w:t>A landowner may not evict a tenant or issue a notice to vacate the premises after entering into negotiations to sell the land for use in a NAWCA-funded project, but before contractually committing to the sale.  Such action would be a violation of the provisions of 49 CFR 24.206.</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16"/>
          <w:szCs w:val="16"/>
        </w:rPr>
      </w:pPr>
      <w:r>
        <w:rPr>
          <w:rFonts w:ascii="Sakkal Majalla" w:hAnsi="Sakkal Majalla" w:cs="Sakkal Majalla"/>
          <w:sz w:val="16"/>
          <w:szCs w:val="16"/>
        </w:rPr>
        <w:t xml:space="preserve">49 CFR 24.206 states in part: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ight="180"/>
        <w:rPr>
          <w:rFonts w:ascii="Sakkal Majalla" w:hAnsi="Sakkal Majalla" w:cs="Sakkal Majalla"/>
          <w:sz w:val="20"/>
          <w:szCs w:val="20"/>
        </w:rPr>
      </w:pPr>
      <w:r>
        <w:rPr>
          <w:rFonts w:ascii="Sakkal Majalla" w:hAnsi="Sakkal Majalla" w:cs="Sakkal Majalla"/>
          <w:sz w:val="16"/>
          <w:szCs w:val="16"/>
        </w:rPr>
        <w:t xml:space="preserve">Eviction for cause must conform to applicable State and local law.  Any person who occupies the real property and is not in  unlawful occupancy on the date of the initiation of negotiations, is presumed to be entitled to relocation payments and other assistance set forth in this part unless the agency determines that: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16"/>
          <w:szCs w:val="16"/>
        </w:rPr>
      </w:pPr>
      <w:r>
        <w:rPr>
          <w:rFonts w:ascii="Sakkal Majalla" w:hAnsi="Sakkal Majalla" w:cs="Sakkal Majalla"/>
          <w:sz w:val="16"/>
          <w:szCs w:val="16"/>
        </w:rPr>
        <w:t>(a) The person received an eviction notice prior to the initiation of negotiations and, as a result of that notice is later evicted;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16"/>
          <w:szCs w:val="16"/>
        </w:rPr>
      </w:pPr>
      <w:r>
        <w:rPr>
          <w:rFonts w:ascii="Sakkal Majalla" w:hAnsi="Sakkal Majalla" w:cs="Sakkal Majalla"/>
          <w:sz w:val="16"/>
          <w:szCs w:val="16"/>
        </w:rPr>
        <w:t xml:space="preserve">(b) The person is evicted after the initiation of negotiations for serious or repeated violation of material terms of the lease or occupancy agreement;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16"/>
          <w:szCs w:val="16"/>
        </w:rPr>
        <w:t xml:space="preserve">©) In either case the eviction was not undertaken for the purpose of evading the obligation to make available the payments and other assistance set forth in this part.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1-16.   What is a Notice of Property Restriction?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A Notice of Property Restriction is a written instrument that is recorded in the county recorder’s office, which may be  known in some localities as the registrar of deeds office, the commissioner of deeds office, the county registrar’s office, or the bureau of conveyances.  The Notice of Property Restriction was formerly known as a Notice of Grant Agreement.  The name was changed because of  potential confusion with another type of document of the same name used by some Federal grant programs.  The Notice of Property Restriction must:</w:t>
      </w:r>
    </w:p>
    <w:p w:rsidR="001F0636" w:rsidRDefault="001F0636">
      <w:pPr>
        <w:pStyle w:val="Level1"/>
        <w:numPr>
          <w:ilvl w:val="0"/>
          <w:numId w:val="25"/>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Identify the interest in real property to which the Notice of Property Restriction applies and include a legal description.</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Identify the name and address of the recipient, subrecipient, or other authorized title holder who commits the interest in real property to the project.</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Reference the Agreement and the address where it is kept on file.</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State the purpose of the project.</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 xml:space="preserve">State that the recipient, subrecipient, or other authorized title holder who commits the interest in real property to the project confirms its obligation to manage the interest in real property pursuant to the Agreement, its incorporated project proposal, and the purpose of the project. </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right="-90" w:hanging="540"/>
        <w:rPr>
          <w:sz w:val="20"/>
          <w:szCs w:val="20"/>
        </w:rPr>
      </w:pPr>
      <w:r>
        <w:rPr>
          <w:sz w:val="20"/>
          <w:szCs w:val="20"/>
        </w:rPr>
        <w:t xml:space="preserve">State that the recipient, subrecipient, or other authorized title holder who commits the interest in real property to the project will not convey or encumber the interest in real property, in whole or in part, to another party without USFWS's consent and will not discontinue management of the interest in real property for the project’s authorized purpose without USFWS’s consent. </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right="-90" w:hanging="540"/>
        <w:rPr>
          <w:sz w:val="20"/>
          <w:szCs w:val="20"/>
        </w:rPr>
      </w:pPr>
      <w:r>
        <w:rPr>
          <w:sz w:val="20"/>
          <w:szCs w:val="20"/>
        </w:rPr>
        <w:t>State that if the recipient, subrecipient, or other authorized title holder receives USFWS’s consent to convey or encumber the interest in real property, or to discontinue management of the interest in real property for the project’s authorized purpose, the  USFWS must give, at its discretion, one or more of the following instructions:</w:t>
      </w:r>
    </w:p>
    <w:p w:rsidR="001F0636" w:rsidRDefault="001F0636">
      <w:pPr>
        <w:pStyle w:val="Level1"/>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1440" w:right="-90" w:hanging="360"/>
        <w:outlineLvl w:val="9"/>
        <w:rPr>
          <w:sz w:val="20"/>
          <w:szCs w:val="20"/>
        </w:rPr>
      </w:pPr>
      <w:r>
        <w:rPr>
          <w:sz w:val="20"/>
          <w:szCs w:val="20"/>
        </w:rPr>
        <w:fldChar w:fldCharType="begin"/>
      </w:r>
      <w:r>
        <w:rPr>
          <w:sz w:val="20"/>
          <w:szCs w:val="20"/>
        </w:rPr>
        <w:instrText>LISTNUM AutoList65 \l 1</w:instrText>
      </w:r>
      <w:r>
        <w:rPr>
          <w:sz w:val="20"/>
          <w:szCs w:val="20"/>
        </w:rPr>
        <w:fldChar w:fldCharType="end"/>
      </w:r>
      <w:r>
        <w:rPr>
          <w:sz w:val="20"/>
          <w:szCs w:val="20"/>
        </w:rPr>
        <w:tab/>
        <w:t>Retain title without further obligation to the Federal government after it compensates USFWS for that percentage of the current fair market value of the interest in real property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440" w:right="-90" w:hanging="360"/>
        <w:rPr>
          <w:sz w:val="20"/>
          <w:szCs w:val="20"/>
        </w:rPr>
      </w:pPr>
      <w:r>
        <w:rPr>
          <w:sz w:val="20"/>
          <w:szCs w:val="20"/>
        </w:rPr>
        <w:t xml:space="preserve">ii. </w:t>
      </w:r>
      <w:r>
        <w:rPr>
          <w:sz w:val="20"/>
          <w:szCs w:val="20"/>
        </w:rPr>
        <w:tab/>
        <w:t>Sell the interest in real property under guidelines provided by USFWS and pay USFWS for that percentage of the current fair market value of the interest in real property attributable to the Federal participation in the project (after deducting actual and reasonable selling or fix-up expenses, if any, from the sales proceeds).  When USFWS authorizes or requires the recipient, subrecipient, or other authorized title holder to sell the interest in real property, the recipient, subrecipient, or other authorized title holder must establish proper sales procedures that provide for competition to the extent practicable and result in the highest possible return.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440" w:right="-90" w:hanging="360"/>
        <w:rPr>
          <w:sz w:val="20"/>
          <w:szCs w:val="20"/>
        </w:rPr>
      </w:pPr>
      <w:r>
        <w:rPr>
          <w:sz w:val="20"/>
          <w:szCs w:val="20"/>
        </w:rPr>
        <w:t xml:space="preserve">iii. </w:t>
      </w:r>
      <w:r>
        <w:rPr>
          <w:sz w:val="20"/>
          <w:szCs w:val="20"/>
        </w:rPr>
        <w:tab/>
        <w:t>Transfer title to the interest in real property to the Federal Government or to an eligible third party provided that, in such cases, the recipient, subrecipient, or other authorized title holder who continued to hold title after contributing match to the project is entitled to compensation for its attributable percentage of the current fair market value of the interest in real property.</w:t>
      </w:r>
    </w:p>
    <w:p w:rsidR="001F0636" w:rsidRDefault="001F0636">
      <w:pPr>
        <w:pStyle w:val="Level1"/>
        <w:numPr>
          <w:ilvl w:val="0"/>
          <w:numId w:val="27"/>
        </w:numPr>
        <w:tabs>
          <w:tab w:val="left" w:pos="-480"/>
          <w:tab w:val="left" w:pos="0"/>
          <w:tab w:val="left" w:pos="90"/>
          <w:tab w:val="left" w:pos="180"/>
          <w:tab w:val="left" w:pos="270"/>
          <w:tab w:val="left" w:pos="360"/>
          <w:tab w:val="num" w:pos="540"/>
          <w:tab w:val="left" w:pos="720"/>
          <w:tab w:val="left" w:pos="900"/>
          <w:tab w:val="left" w:pos="1080"/>
        </w:tabs>
        <w:ind w:left="900" w:right="-90" w:hanging="540"/>
        <w:rPr>
          <w:sz w:val="20"/>
          <w:szCs w:val="20"/>
        </w:rPr>
      </w:pPr>
      <w:r>
        <w:rPr>
          <w:sz w:val="20"/>
          <w:szCs w:val="20"/>
        </w:rPr>
        <w:t>State that if a recipient, subrecipient, or other authorized title holder, without the permission of the USFWS:  (a) manages the property in a manner inconsistent with the authorized project purpose; or (b) encumbers, sells, or otherwise transfers to another entity some or all of the real property interests acquired with grant or matching funds or acquired as a matching in-kind contribution, the USFWS will apply, at its discretion, one of the following alternatives for redress:</w:t>
      </w:r>
    </w:p>
    <w:p w:rsidR="001F0636" w:rsidRDefault="001F0636">
      <w:pPr>
        <w:pStyle w:val="Level1"/>
        <w:numPr>
          <w:ilvl w:val="0"/>
          <w:numId w:val="27"/>
        </w:numPr>
        <w:tabs>
          <w:tab w:val="left" w:pos="-480"/>
          <w:tab w:val="left" w:pos="0"/>
          <w:tab w:val="left" w:pos="90"/>
          <w:tab w:val="left" w:pos="180"/>
          <w:tab w:val="left" w:pos="270"/>
          <w:tab w:val="left" w:pos="360"/>
          <w:tab w:val="num" w:pos="540"/>
          <w:tab w:val="left" w:pos="720"/>
          <w:tab w:val="left" w:pos="900"/>
          <w:tab w:val="left" w:pos="1080"/>
        </w:tabs>
        <w:ind w:left="900" w:right="-90" w:hanging="540"/>
        <w:rPr>
          <w:sz w:val="20"/>
          <w:szCs w:val="20"/>
        </w:rPr>
        <w:sectPr w:rsidR="001F0636">
          <w:type w:val="continuous"/>
          <w:pgSz w:w="12240" w:h="15840"/>
          <w:pgMar w:top="450" w:right="540" w:bottom="720" w:left="720" w:header="450" w:footer="720" w:gutter="0"/>
          <w:cols w:space="720"/>
          <w:noEndnote/>
        </w:sectPr>
      </w:pPr>
    </w:p>
    <w:p w:rsidR="001F0636" w:rsidRDefault="001F0636">
      <w:pPr>
        <w:pStyle w:val="Level1"/>
        <w:numPr>
          <w:ilvl w:val="0"/>
          <w:numId w:val="28"/>
        </w:numPr>
        <w:tabs>
          <w:tab w:val="left" w:pos="-480"/>
          <w:tab w:val="left" w:pos="0"/>
          <w:tab w:val="left" w:pos="90"/>
          <w:tab w:val="left" w:pos="180"/>
          <w:tab w:val="left" w:pos="270"/>
          <w:tab w:val="left" w:pos="360"/>
          <w:tab w:val="left" w:pos="540"/>
          <w:tab w:val="left" w:pos="720"/>
          <w:tab w:val="left" w:pos="900"/>
          <w:tab w:val="left" w:pos="1080"/>
          <w:tab w:val="num" w:pos="1440"/>
        </w:tabs>
        <w:ind w:left="1440" w:hanging="360"/>
        <w:rPr>
          <w:sz w:val="20"/>
          <w:szCs w:val="20"/>
        </w:rPr>
      </w:pPr>
      <w:r>
        <w:rPr>
          <w:sz w:val="20"/>
          <w:szCs w:val="20"/>
        </w:rPr>
        <w:lastRenderedPageBreak/>
        <w:t xml:space="preserve">USFWS may direct a recipient, subrecipient, or other authorized title holder to convey to the USFWS or its designee an interest in real property that has a value equal to the percentage of the current fair market value of the interest in real property attributable to the Federal participation in the project and that will serve the same purpose of long-term conservation and management of the affected wetland ecosystem and the fish and wildlife dependent thereon.  This interest in real property will be subject to the same legal prerequisites </w:t>
      </w:r>
      <w:r>
        <w:rPr>
          <w:sz w:val="20"/>
          <w:szCs w:val="20"/>
        </w:rPr>
        <w:lastRenderedPageBreak/>
        <w:t xml:space="preserve">as other lands acquired in the NAWCA Grants Program, e.g., NEPA, Endangered Species Act, National Historic Preservation Act clearance, a finding that the land is not needed for the National Wildlife Refuge System. </w:t>
      </w:r>
    </w:p>
    <w:p w:rsidR="001F0636" w:rsidRDefault="001F0636">
      <w:pPr>
        <w:pStyle w:val="Level1"/>
        <w:numPr>
          <w:ilvl w:val="0"/>
          <w:numId w:val="29"/>
        </w:numPr>
        <w:tabs>
          <w:tab w:val="left" w:pos="-480"/>
          <w:tab w:val="left" w:pos="0"/>
          <w:tab w:val="left" w:pos="90"/>
          <w:tab w:val="left" w:pos="180"/>
          <w:tab w:val="left" w:pos="270"/>
          <w:tab w:val="left" w:pos="360"/>
          <w:tab w:val="left" w:pos="540"/>
          <w:tab w:val="left" w:pos="720"/>
          <w:tab w:val="left" w:pos="900"/>
          <w:tab w:val="left" w:pos="1080"/>
          <w:tab w:val="num" w:pos="1440"/>
        </w:tabs>
        <w:ind w:left="1440" w:hanging="360"/>
        <w:rPr>
          <w:sz w:val="20"/>
          <w:szCs w:val="20"/>
        </w:rPr>
      </w:pPr>
      <w:r>
        <w:rPr>
          <w:sz w:val="20"/>
          <w:szCs w:val="20"/>
        </w:rPr>
        <w:t xml:space="preserve">USFWS may direct a recipient, subrecipient, or other authorized title holder to pay USFWS that percentage of the fair market value of the interest in real property attributable to the Federal participation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hanging="540"/>
        <w:rPr>
          <w:sz w:val="20"/>
          <w:szCs w:val="20"/>
        </w:rPr>
      </w:pPr>
      <w:r>
        <w:rPr>
          <w:sz w:val="20"/>
          <w:szCs w:val="20"/>
        </w:rPr>
        <w:t>(9)</w:t>
      </w:r>
      <w:r>
        <w:rPr>
          <w:sz w:val="20"/>
          <w:szCs w:val="20"/>
        </w:rPr>
        <w:tab/>
      </w:r>
      <w:r>
        <w:rPr>
          <w:sz w:val="20"/>
          <w:szCs w:val="20"/>
        </w:rPr>
        <w:tab/>
        <w:t>State that if any of the interests in real property are conveyed with or without the USFWS’s consent, the USFWS may require the recipient, subrecipient, or other authorized title holder to: (a) obtain at the recipient’s, subrecipient’s, or other authorized title holder’s expense an appraisal that (i) conforms to the most recent version of the Uniform Appraisal Standards of Federal Land Acquisition or its equivalent and (ii) is reviewed and approved by a USFWS or other Federal reviewing appraiser; (b) bear the cost of compliance with all legal prerequisites for the implementation of USFWS’s choice of an instruction for (i) disposition of the real property or (ii) if appropriate, a remedy for noncompliance.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hanging="540"/>
        <w:rPr>
          <w:sz w:val="20"/>
          <w:szCs w:val="20"/>
        </w:rPr>
      </w:pPr>
      <w:r>
        <w:rPr>
          <w:sz w:val="20"/>
          <w:szCs w:val="20"/>
        </w:rPr>
        <w:t>(10)</w:t>
      </w:r>
      <w:r>
        <w:rPr>
          <w:sz w:val="20"/>
          <w:szCs w:val="20"/>
        </w:rPr>
        <w:tab/>
        <w:t xml:space="preserve">State that the Notice of Property Restriction runs with the land and none of the items in this Notice of Property Restriction may be changed and none will cease to be applicable unless the grant officer or other authorized USFWS representative provides written approval, which the recipient, subrecipient, or other authorized titleholder must record in the same public records as the original Notice of Property Restriction.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sz w:val="20"/>
          <w:szCs w:val="20"/>
        </w:rPr>
      </w:pPr>
      <w:r>
        <w:rPr>
          <w:sz w:val="20"/>
          <w:szCs w:val="20"/>
        </w:rPr>
        <w:t>The Notice of Property Restriction serves as notice to anyone doing a title search that any sale or encumbrance of the referenced property rights must be approved by the USFWS.  A Notice of Property Restriction is not required if the contents required by this section are included in the deed, easement, assignment of lease, or other conveyance instrument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Policy requires that the grant officer receive a copy of documents related to acquisition of real property.  </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A notice of record is authorized for real property acquired with Federal funds by institutions of higher education, hospitals, and other nonprofit organizations at 43 CFR 12.937.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Under the closeout procedures in 43 CFR 12.971(g), the recipient must account for any real  property acquired with Federal funds in accordance with 43 CFR 12.931 through 43 CFR 12.937.   Since the Notices of Grant Agreement are filed chronologically and cross referenced to deeds, there is no need to have a separate Notice of Property Restriction for every interest in real property acquired under the NAWCA project.  Therefore, for each  jurisdiction’s recorder’s office, one Notice of Property Restriction that cross-references each interest acquired in that jurisdiction will suffice.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I-17.   May the Notice of Property Restriction reference more than one of the interests in real property acquired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Notice of Property Restriction may reference more than one of the interests in real property acquired in the project as long as it: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identifies each interest in real property to which the Notice of Property Restriction applies and include a legal description of each;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identifies the name and address of the recipient, subrecipient, or other authorized title holder of each interest in real property who commits it to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all of the other required elements of the Notice of Property Restriction are applicable to each interest in real property listed in the Notice.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Sakkal Majalla" w:hAnsi="Sakkal Majalla" w:cs="Sakkal Majalla"/>
          <w:sz w:val="20"/>
          <w:szCs w:val="20"/>
        </w:rPr>
      </w:pPr>
      <w:r>
        <w:rPr>
          <w:rFonts w:ascii="Times New Roman" w:hAnsi="Times New Roman" w:cs="Times New Roman"/>
          <w:b/>
          <w:bCs/>
          <w:sz w:val="20"/>
          <w:szCs w:val="20"/>
        </w:rPr>
        <w:t>I-18.  How do I obtain a waiver from NAWCA land acquisition requirements?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b/>
          <w:bCs/>
          <w:sz w:val="20"/>
          <w:szCs w:val="20"/>
        </w:rPr>
      </w:pPr>
      <w:r>
        <w:rPr>
          <w:rFonts w:ascii="Times New Roman" w:hAnsi="Times New Roman" w:cs="Times New Roman"/>
          <w:sz w:val="20"/>
          <w:szCs w:val="20"/>
        </w:rPr>
        <w:t xml:space="preserve">The recipient must: (a) request a waiver from the grant officer; and (b) attach to the request for a waiver a copy of the landowner’s or tenant’s signed statement as described below.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landowner and any affected tenant must send a letter directly to the grant officer that: (a) certifies that he or she understands the assistance and protection available to him or her under 49 CFR, part 24; (b) explains how he or she learned the details of this assistance and protection; ©) lists the requirements of 49 CFR, part 24, that the landowner supports waiving; and (d) certifies that the waiver will not reduce such assistance or protection due him under 49 CFR, part 24.  USFWS will not waive any provision of 49 CFR, part 24, if: (a) it is obvious that such waiver will reduce the protections or assistance provided to a landowner or tenant notwithstanding </w:t>
      </w:r>
      <w:r>
        <w:rPr>
          <w:rFonts w:ascii="Times New Roman" w:hAnsi="Times New Roman" w:cs="Times New Roman"/>
          <w:sz w:val="20"/>
          <w:szCs w:val="20"/>
        </w:rPr>
        <w:lastRenderedPageBreak/>
        <w:t>a letter to the contrary from the landowner or tenant; or (b) there is reason to believe that the landowner or tenant was under any pressure to provide a letter to USFWS in support of a waiver.  Due to the obvious pressures that may be brought to bear on tenants,  letters from a tenant will be given special scrutiny.   The USFWS, at its option, may require additional procedures to assure that the tenants and landowners fully understand the assistances and protections that are due under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Waiver requirements are at 49 CFR 24.7, which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The Federal agency funding the project may waive any requirement in this part not required by law if it determines that the waiver does not reduce any assistance or protection provided to an owner or displaced person under this part.  Any request for a waiver shall be justified on a case by case basis.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Although the above provision does not require a letter from the landowner or affected tenant, a letter is the only practical way that the USFWS could ascertain that a waiver would not reduce any assistance or protection provided to an owner or tenant under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J.   REAL PROPERTY DISPOSITION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J-1.   If I acquire real property under a NAWCA grant, may I manage it as I see fit?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subrecipient, or other authorized title holder of real property acquired under a grant must manage any interests in real property acquired under a grant for the project’s authorized purpose as long as the interests in real property are needed for the project’s authorized purpose.  This is required regardless of whether the interests in real property were acquired with grant or matching funds or contributed as a matching in-kind contribution.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12.71(b) states: “Except as otherwise provided by Federal statutes, real property will be used for the originally authorized purposes as long as needed as long as needed for those purposes, and the grantee or subgrantee shall not dispose of or encumber its title or other interests.”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12.932(a) states: “Title to real property shall vest in the recipient subject to the condition that the recipient shall use the real property for the authorized purpose of the project as long as it is needed and shall not encumber the property without approval from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J-2.   Who determines when real property is no longer needed for the project’s authorized purpose?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recipient, subrecipient, or other authorized title holder of real property acquired under a grant may propose that the interest in real property is no longer needed for the project’s authorized purpose, but the USFWS will be the final arbiter.  The recipient, subrecipient, or match provider must obtain the written permission of the USFWS before it manages the interest in real property for anything other than the project’s authorized purpose.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This is based on 43 CFR 12.71 and 43 CFR 12.932.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J-3.   May I encumber, sell, or transfer some or all of the interests in land acquired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Except as specified in the proposal, the recipient, subrecipient, or other authorized title holder of interests in real property acquired with Federal grant or matching funds or as a matching in-kind contribution </w:t>
      </w:r>
      <w:r>
        <w:rPr>
          <w:rFonts w:ascii="Sakkal Majalla" w:hAnsi="Sakkal Majalla" w:cs="Sakkal Majalla"/>
          <w:sz w:val="20"/>
          <w:szCs w:val="20"/>
        </w:rPr>
        <w:t>may not encumber, sell, or otherwise transfer the interest in real property, or any part of the same, without requesting the approval of USFWS or its successor.</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12.71(b) states: “Except as otherwise provided by Federal statutes, real property will be used for the originally authorized purposes as long as needed as long as needed for those purposes, and the grantee or subgrantee shall not dispose of or encumber its title or other interests.”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12.932(a) states: “Title to real property shall vest in the recipient subject to the condition that the recipient shall use the real property for the authorized purpose of the project as long as it is needed and shall not encumber the property without approval from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J-4.   How do I  get  permission to encumber, sell, or transfer interests in land acquired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recipient, subrecipient, or other authorized title holder of real property acquired under a grant determines during or after the project period that: (a) it is no longer able or willing to retain title to or administer an interest in real property acquired in this project for the project’s authorized purpose; or (b) the interest in real property acquired in this project is no longer needed for the project’s authorized purpose, it must request disposition instructions from USFWS or its successor.  USFWS must give, at its discretion, one or more of the following three instructions:</w:t>
      </w:r>
    </w:p>
    <w:p w:rsidR="001F0636" w:rsidRDefault="001F0636">
      <w:pPr>
        <w:pStyle w:val="Level1"/>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720" w:hanging="360"/>
        <w:outlineLvl w:val="9"/>
        <w:rPr>
          <w:rFonts w:ascii="Times New Roman" w:hAnsi="Times New Roman" w:cs="Times New Roman"/>
          <w:sz w:val="20"/>
          <w:szCs w:val="20"/>
        </w:rPr>
      </w:pPr>
      <w:r>
        <w:rPr>
          <w:rFonts w:ascii="Times New Roman" w:hAnsi="Times New Roman" w:cs="Times New Roman"/>
          <w:sz w:val="20"/>
          <w:szCs w:val="20"/>
        </w:rPr>
        <w:lastRenderedPageBreak/>
        <w:fldChar w:fldCharType="begin"/>
      </w:r>
      <w:r>
        <w:rPr>
          <w:rFonts w:ascii="Times New Roman" w:hAnsi="Times New Roman" w:cs="Times New Roman"/>
          <w:sz w:val="20"/>
          <w:szCs w:val="20"/>
        </w:rPr>
        <w:instrText>LISTNUM AutoList65 \l 1</w:instrText>
      </w:r>
      <w:r>
        <w:rPr>
          <w:rFonts w:ascii="Times New Roman" w:hAnsi="Times New Roman" w:cs="Times New Roman"/>
          <w:sz w:val="20"/>
          <w:szCs w:val="20"/>
        </w:rPr>
        <w:fldChar w:fldCharType="end"/>
      </w:r>
      <w:r>
        <w:rPr>
          <w:rFonts w:ascii="Times New Roman" w:hAnsi="Times New Roman" w:cs="Times New Roman"/>
          <w:sz w:val="20"/>
          <w:szCs w:val="20"/>
        </w:rPr>
        <w:tab/>
      </w:r>
      <w:r>
        <w:rPr>
          <w:rFonts w:ascii="Times New Roman" w:hAnsi="Times New Roman" w:cs="Times New Roman"/>
          <w:sz w:val="20"/>
          <w:szCs w:val="20"/>
        </w:rPr>
        <w:tab/>
        <w:t>Retain title without further obligation to the Federal government after it compensates USFWS for that percentage of the current fair market value of the interest in real property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pPr>
      <w:r>
        <w:rPr>
          <w:rFonts w:ascii="Times New Roman" w:hAnsi="Times New Roman" w:cs="Times New Roman"/>
          <w:sz w:val="20"/>
          <w:szCs w:val="20"/>
        </w:rPr>
        <w:t xml:space="preserve">ii. </w:t>
      </w:r>
      <w:r>
        <w:rPr>
          <w:rFonts w:ascii="Times New Roman" w:hAnsi="Times New Roman" w:cs="Times New Roman"/>
          <w:sz w:val="20"/>
          <w:szCs w:val="20"/>
        </w:rPr>
        <w:tab/>
        <w:t>Sell the interest in real property under guidelines provided by USFWS and pay USFWS for that percentage of the current fair market value of the interest in real property attributable to the Federal participation in the project (after deducting actual and reasonable selling or fix-up expenses, if any, from the sales proceeds).  When USFWS authorizes or requires the recipient, subrecipient, or other authorized title holder to sell the interest in real property, the recipient, subrecipient, or other authorized title holder must establish proper sales procedures that provide for competition to the extent practicable and result in the highest possible return.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pPr>
      <w:r>
        <w:rPr>
          <w:rFonts w:ascii="Times New Roman" w:hAnsi="Times New Roman" w:cs="Times New Roman"/>
          <w:sz w:val="20"/>
          <w:szCs w:val="20"/>
        </w:rPr>
        <w:lastRenderedPageBreak/>
        <w:t xml:space="preserve">iii. </w:t>
      </w:r>
      <w:r>
        <w:rPr>
          <w:rFonts w:ascii="Times New Roman" w:hAnsi="Times New Roman" w:cs="Times New Roman"/>
          <w:sz w:val="20"/>
          <w:szCs w:val="20"/>
        </w:rPr>
        <w:tab/>
        <w:t>Transfer title to the interest in real property to the Federal Government or to an eligible third party provided that, in such cases, the recipient, subrecipient, or other authorized title holder who continued to hold title after contributing match to the project is entitled to compensation for its attributable percentage of the current fair market value of the interest in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In each of the above options (i), (ii), and (iii), the USFWS, at its discretion, may require the recipient, subrecipient, or other authorized title holder to: (a) obtain at the recipient’s, subrecipient’s, or other authorized title holder’s expense an appraisal that (i) conforms to the most recent version of the Uniform Appraisal Standards of Federal Land Acquisition or its equivalent and (ii) is reviewed and approved by a USFWS or other Federal reviewing appraiser; (b) bear the cost of compliance with all legal prerequisites for the implementation of USFWS’s choice of an instruction for (i) disposition of the real property or (ii) if appropriate, a remedy for noncompliance, e.g., NEPA, Endangered Species Act, National Historic Preservation Act, a finding that the land is not needed for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USFWS or its successor will direct the recipient, subrecipient, or other authorized title holder to transfer the interest in real property to a specific Federal, State, or Tribal agency for long-term conservation under option iii. above, if such transfer were specified in the proposal, or is otherwise consistent with the project’s authorized purpose.  The recipient, subrecipient, or other authorized title holder, at its option, may waive its right to compensation on any transfer of an interest in real property that is directed by USFWS.  The USFWS will not require that the recipient, subrecipient, or other authorized title holder to pay the USFWS its attributable percentage of the current fair market value of the interest in real property if:</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sym w:font="Symbol" w:char="F0B7"/>
      </w:r>
      <w:r>
        <w:rPr>
          <w:rFonts w:ascii="Times New Roman" w:hAnsi="Times New Roman" w:cs="Times New Roman"/>
          <w:sz w:val="20"/>
          <w:szCs w:val="20"/>
        </w:rPr>
        <w:tab/>
        <w:t xml:space="preserve">the USFWS directs the recipient, subrecipient, or other authorized title holder to transfer the interest in real property to a Federal, State, or Tribal agency for long-term conservation if such transfer was either specified in the proposal or is otherwise consistent with the project’s authorized purpose; </w:t>
      </w:r>
      <w:r>
        <w:rPr>
          <w:rFonts w:ascii="Times New Roman" w:hAnsi="Times New Roman" w:cs="Times New Roman"/>
          <w:sz w:val="20"/>
          <w:szCs w:val="20"/>
          <w:u w:val="single"/>
        </w:rPr>
        <w:t>and</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sym w:font="Symbol" w:char="F0B7"/>
      </w:r>
      <w:r>
        <w:rPr>
          <w:rFonts w:ascii="Times New Roman" w:hAnsi="Times New Roman" w:cs="Times New Roman"/>
          <w:sz w:val="20"/>
          <w:szCs w:val="20"/>
        </w:rPr>
        <w:tab/>
        <w:t>the recipient, subrecipient, or other authorized title holder does not receive any compensation in cash or in kind for the transfer, or the compensation is reduced by an amount at least equal to the percentage of the current fair market value attributable to the Federal participation in the project due to the effect of the restrictions of 43 CFR 12.71 and 43 CFR 12.932 on the appraised value. (The appraisal must describe this effect or the appraiser must otherwise certify that these regulatory restrictions reduced the appraised value by an amount at least equal to the percentage of the current market value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If such a recipient, subrecipient, or other authorized title holder of real property acquired under a grant is an institution of higher education, other nonprofit organization, a commercial organization, or an individual, it must first obtain USFWS’s written approval for the use of the interest in real property in other federally sponsored projects.  Use in other projects must be limited to those under federally sponsored projects that have purposes consistent with those authorized for support by the United States Department of the Interior.  If use in other federally sponsored projects is not possible or appropriate, the recipient, subrecipient, or other authorized title holder must request disposition instructions from USFWS or its successor. USFWS will give, at its discretion, one or more of instructions (i) through (iii) as listed above.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If the grant officer or other authorized USFWS representative approves any: (a) encumbrance, (b) disposition of the real property interest, ©) use that conflicts with the authorized purpose of the project, or (d) use for another federally sponsored project, or (e) change in the authorized purpose of the project, the recipient must ensure that the Notice of Property Restriction is changed to reflect that occurrence.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disposition requirements are based on 43 CFR 12.71 and 43 CFR 12.932.  These two regulations differ in how they calculate the percentage of the current fair market value of the interest in real property attributable to the Federal participation.  43 CFR 12.71, which is applicable to States, Tribes, and local government, stipulates the “Federal participation in the cost of the original purchase.”  43 CFR 12.932, which is applicable to institutions of higher education, hospitals, and nonprofit organizations, stipulates “Federal participation in the project.”  The Department of the Interior’s Solicitor's Office advised the staff of the NAWCA Grants Program informally that the approach to compensating the Federal government for disposition of real property under 43 CFR 12.71, if enforced, would make matching in-kind contributions of real property almost meaningless.  There would be no penalty if such matching in-kind contributions are withdrawn from the project.  Therefore, we should use the approach in 43 CFR 12.932 to calculate the amount due the Federal government, i.e., the Federal government must be compensated for that percentage of the current fair market value of the property attributable to the Federal participation in the</w:t>
      </w:r>
      <w:r>
        <w:rPr>
          <w:rFonts w:ascii="Helv" w:hAnsi="Helv" w:cs="Helv"/>
          <w:sz w:val="16"/>
          <w:szCs w:val="16"/>
        </w:rPr>
        <w:t xml:space="preserv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USFWS will retain any funds it receives as its attributable share from the disposition of real property.  It will  credit these funds to the original appropriation used to purchase the real property based on Solicitor’s Attorney Larry Mellinger’s advice to USFWS’s Thomas Barnes on October 20, 2003, and separate advice on the same date to USFWS’s </w:t>
      </w:r>
      <w:r>
        <w:rPr>
          <w:rFonts w:ascii="Times New Roman" w:hAnsi="Times New Roman" w:cs="Times New Roman"/>
          <w:sz w:val="16"/>
          <w:szCs w:val="16"/>
        </w:rPr>
        <w:lastRenderedPageBreak/>
        <w:t xml:space="preserve">Linda Gaumer.  Although not discussed with the Solicitor’s attorney, a  justification for this approach may  be that the receipt of the Federal attributable share amounts to an adjustment for a previous amount disbursed.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requirement for a UASFLA appraisal and an appraisal review are based on the requirements of 49 CFR 24.103 and 49 CFR 24.104.  Although 49 CFR, part 24, applies to the direct acquisition of real property for the Federal government and for a federally assisted project, its requirement of “nationally recognized appraisal standards, including to the extent appropriate the UASFLA” together with an appraisal review would also serve to protect the Federal government’s interest in a disposition.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12.932 provides that institutions of higher education, hospitals, and nonprofit organizations may use unneeded real property for those federally sponsored projects that have purposes consistent with those authorized for support by the United States Department of the Interior.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 xml:space="preserve">The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Policy requires that the grants officer receive a copy of documents related to acquisition of real property.  A notice of record is authorized for real property acquired with Federal funds by institutions of higher education, hospitals, and other nonprofit organizations at 43 CFR 12.937.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J-5.    How long will I be required to get  permission to manage for a different purpose or to encumber, sell, or transfer interests in land acquired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recipient, subrecipient, or other authorized title holder is required in perpetuity to obtain the USFWS’s permission to: (a) manage interests in real property, which were acquired with Federal grant or matching funds or received as match under a grant, for other than the project’s authorized purpose; and (b) encumber, sell, or otherwise transfer to another entity some or all of the real property interests.  However, if the interest in the real property is an easement or a lease with a term that is less than perpetual, the obligation to seek USFWS’s permission will end with the expiration of the term of the easement or lease.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U.S. House of Representative’s legislative report accompanying NAWCA (Report 101-269) dated October 5, 1989, states: “It is the committee’s preference that the lands be protected in perpetuity.  In cases where an agreement cannot be reached to protect the land in perpetuity, the land should be protected for as long a time as possible.”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U.S. Senate’s legislative report accompanying NAWCA (Report 101-161) dated October 5, 1989, states: “Where possible, the term “long-term conservation” should be interpreted in a manner that will result in habitat being reserved in perpetuity for fish and wildlife conservation.  Easements to conserve wetland ecosystems for 25 years or more, while less desirable than perpetual easements, also would be consistent with the requirement for long term conservation.  In some cases, purchase of easements to conserve habitat for less than 25 years, or even for 10 years or less, may be appropriate if the purchase is likely to result in the landowner agreeing to a longer term conservation agreement at the expiration of the initial easement.”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J-6.   Will information be available in the distant future to determine the Federal share of an interest in real property?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USFWS will maintain a record of the Federal share in a project for as long the land must be managed for the purposes of the project.  USFWS will determine the Federal share at the time of close out and adjust it, if necessary, based on any subsequent audit.  Recipients and other title holders under a NAWCA project are encouraged to maintain this information in their files as long as they have responsibility for the property.  Once USFWS makes its determination of the Federal share at close out, recipients are encouraged to record the USFWS-approved Federal share with reference to the applicable Notice of Property Restriction and deed.   </w:t>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disposition requirements are based on 43 CFR 12.71 and 43 CFR 12.932.  These two regulations differ in how they calculate the percentage of the current fair market value of the interest in real property attributable to the Federal participation.  43 CFR 12.71, which is applicable to States, Tribes, and local government, stipulates the “Federal participation in the cost of the original purchase.”  43 CFR 12.932, which is applicable to institutions of higher education, hospitals, and nonprofit organizations, stipulates “Federal participation in the project.”  The Department of the Interior’s Solicitor's Office advised the staff of the NAWCA Grants Program informally that the approach to compensating the Federal government for disposition of real property under 43 CFR 12.71, if enforced, would make matching in-kind contributions of real property almost meaningless.  There would be no penalty if such matching in-kind contributions are withdrawn from the project.  Therefore, we should use the approach in 43 CFR 12.932 to calculate the amount due the Federal government, i.e., the Federal government must be compensated for that percentage of the current fair market value of the property attributable to the Federal participation in the</w:t>
      </w:r>
      <w:r>
        <w:rPr>
          <w:rFonts w:ascii="Helv" w:hAnsi="Helv" w:cs="Helv"/>
          <w:sz w:val="16"/>
          <w:szCs w:val="16"/>
        </w:rPr>
        <w:t xml:space="preserv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 xml:space="preserve">The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Policy requires that the grants officer receive a copy of documents related to acquisition of real property.   A notice of record is authorized for real property acquired with Federal funds by institutions of higher education, hospitals, and other nonprofit organizations at 43 CFR 12.937.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J-7.   Do I  have to request permission to sell an easement on land acquired in a NAWCA project to the U.S. Department of Agriculture for the Wetland Reserve Program or enroll land in the Conservation Reserve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sale of an easement constitutes the sale of part of the property rights, thus the recipient would have to request permission from the grant officer to sell an easement to the U.S. Department of Agriculture under the Wetland Reserve Program(WRP) on the grounds that </w:t>
      </w:r>
      <w:r>
        <w:rPr>
          <w:rFonts w:ascii="Times New Roman" w:hAnsi="Times New Roman" w:cs="Times New Roman"/>
          <w:sz w:val="20"/>
          <w:szCs w:val="20"/>
        </w:rPr>
        <w:lastRenderedPageBreak/>
        <w:t>the interests to be conveyed are no longer needed for the purposes of the project.  Similarly the recipient would also have to request permission to enroll land acquired in a NAWCA project in the Conservation Reserve Program (CRP) because such enrollment would require signing a contract to keep the land in a certain type of vegetative cover or under water for a number of years.  The grant officer would normally deny permission because the NAWCA project: (a) already provided that the land be in one of the cover types required under WRP or CRP, or (b) was intentionally designed to have land in it with something different than the cover types required under WRP or CRP.  In the case of (a), the grant officer would thus avoid a situation where the Federal government would be paying twice for essentially the same result.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lastRenderedPageBreak/>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12.71(b) states: “Except as otherwise provided by Federal statutes, real property will be used for the originally authorized purposes as long as needed as long as needed for those purposes, and the grantee or subgrantee shall not dispose of or encumber its title or other interests.”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12.932(a) states: “Title to real property shall vest in the recipient subject to the condition that the recipient shall use the real property for the authorized purpose of the project as long as it is needed and shall not encumber the property without approval from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49 CFR 24.4 states: “No person shall receive any payment under this part if that person receives a payment under Federal, State, or local law which is determined by the agency to have the same purpose and effect as such payment under this part.”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6480" w:hanging="6480"/>
        <w:rPr>
          <w:rFonts w:ascii="Times New Roman" w:hAnsi="Times New Roman" w:cs="Times New Roman"/>
          <w:sz w:val="20"/>
          <w:szCs w:val="20"/>
        </w:rPr>
      </w:pPr>
      <w:r>
        <w:rPr>
          <w:rFonts w:ascii="Times New Roman" w:hAnsi="Times New Roman" w:cs="Times New Roman"/>
          <w:b/>
          <w:bCs/>
          <w:sz w:val="20"/>
          <w:szCs w:val="20"/>
        </w:rPr>
        <w:t>K.   SPECIAL PROVISIONS APPLICABLE TO ALL PROPOSALS</w:t>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K-1.   Do I have to get permission to issue news releases or publish anything about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Recipients and subrecipients do not have to seek the permission of the USFWS to issue news releases or publish anything about the project.   However, news releases or other information on the project published or released for publication must acknowledge that funding was made possible through NAWCA.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This is a policy of the NAWCA Grants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K-2.   What are the rules on the purchase of American-made products with Federal grant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USFWS must provide the notice below to each recipient.  The inclusion of this notice in this policy, which will be posted on the NAWCA website, and included by reference in the grant or cooperative agreement, constitutes such notice.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360"/>
        <w:rPr>
          <w:rFonts w:ascii="Times New Roman" w:hAnsi="Times New Roman" w:cs="Times New Roman"/>
          <w:sz w:val="16"/>
          <w:szCs w:val="16"/>
        </w:rPr>
      </w:pPr>
      <w:r>
        <w:rPr>
          <w:rFonts w:ascii="Times New Roman" w:hAnsi="Times New Roman" w:cs="Times New Roman"/>
          <w:sz w:val="16"/>
          <w:szCs w:val="16"/>
        </w:rPr>
        <w:t>Pursuant to sec. 307 of the Omnibus Consolidated Appropriations Act of 1997, Public Law 104</w:t>
      </w:r>
      <w:r>
        <w:rPr>
          <w:rFonts w:ascii="Times New Roman" w:hAnsi="Times New Roman" w:cs="Times New Roman"/>
          <w:sz w:val="16"/>
          <w:szCs w:val="16"/>
        </w:rPr>
        <w:noBreakHyphen/>
        <w:t>208, 110 Stat. 3009, as adopted in subsequent Appropriations Acts, please be advised of the following:  In the case of any equipment or product that may be authorized to be purchased with financial assistance provided using funds made available in this act, it is the sense of the Congress that entities receiving the assistance should, in expending the assistance, purchase only American</w:t>
      </w:r>
      <w:r>
        <w:rPr>
          <w:rFonts w:ascii="Times New Roman" w:hAnsi="Times New Roman" w:cs="Times New Roman"/>
          <w:sz w:val="16"/>
          <w:szCs w:val="16"/>
        </w:rPr>
        <w:noBreakHyphen/>
        <w:t xml:space="preserve">made equipment and products.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360"/>
        <w:rPr>
          <w:rFonts w:ascii="Times New Roman" w:hAnsi="Times New Roman" w:cs="Times New Roman"/>
          <w:sz w:val="16"/>
          <w:szCs w:val="16"/>
        </w:rPr>
      </w:pPr>
      <w:r>
        <w:rPr>
          <w:rFonts w:ascii="Times New Roman" w:hAnsi="Times New Roman" w:cs="Times New Roman"/>
          <w:sz w:val="16"/>
          <w:szCs w:val="16"/>
        </w:rPr>
        <w:t xml:space="preserve">Recipients and subrecipients must insert specific clauses in solicitations for procurement contracts for construction, for the purchase of supplies, or for services involving the purchase of supplies.  These clauses, as well as other “Buy American” Requirements applicable to grants awarded to U.S. recipients are in 43 CFR, part 12, subpart 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sz w:val="16"/>
          <w:szCs w:val="16"/>
        </w:rPr>
        <w:t>This notice  is required by 43 CFR 12.710</w:t>
      </w:r>
      <w:r>
        <w:rPr>
          <w:rFonts w:ascii="Times New Roman" w:hAnsi="Times New Roman" w:cs="Times New Roman"/>
          <w:b/>
          <w:bCs/>
          <w:sz w:val="16"/>
          <w:szCs w:val="16"/>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 xml:space="preserve">  K-3.   What certifications and assurances must I send to the USFWS before receiving an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An applicant must submit the following assurances before receiving an award:</w:t>
      </w:r>
    </w:p>
    <w:p w:rsidR="001F0636" w:rsidRDefault="001F0636">
      <w:pPr>
        <w:pStyle w:val="Level1"/>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AutoList122 \l 1 \s 1</w:instrText>
      </w:r>
      <w:r>
        <w:rPr>
          <w:rFonts w:ascii="Times New Roman" w:hAnsi="Times New Roman" w:cs="Times New Roman"/>
          <w:sz w:val="20"/>
          <w:szCs w:val="20"/>
        </w:rPr>
        <w:fldChar w:fldCharType="end"/>
      </w:r>
      <w:r>
        <w:rPr>
          <w:rFonts w:ascii="Times New Roman" w:hAnsi="Times New Roman" w:cs="Times New Roman"/>
          <w:sz w:val="20"/>
          <w:szCs w:val="20"/>
        </w:rPr>
        <w:tab/>
        <w:t>a signed and dated copy of Assurances – Non-construction Programs  (Standard Form 424B) with all proposals that do not include construction (Definition of construction is in the Appendix to this Policy; it includes all land acquisition.);</w:t>
      </w:r>
    </w:p>
    <w:p w:rsidR="001F0636" w:rsidRDefault="001F0636">
      <w:pPr>
        <w:pStyle w:val="Level1"/>
        <w:numPr>
          <w:ilvl w:val="0"/>
          <w:numId w:val="30"/>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 xml:space="preserve">a signed and dated copy of Assurances – Construction Programs (Standard Form 424A) with all proposals that include construction (Definition of construction is in the Appendix to this Policy; it includes all land acquisition.); and </w:t>
      </w:r>
    </w:p>
    <w:p w:rsidR="001F0636" w:rsidRDefault="001F0636">
      <w:pPr>
        <w:pStyle w:val="Level1"/>
        <w:numPr>
          <w:ilvl w:val="0"/>
          <w:numId w:val="30"/>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 xml:space="preserve">a signed and dated copy of the U.S. Department of the Interior’s Certifications Regarding Debarment, Suspension and other Responsibility Matters, Drug-free Workplace Requirements and Lobbying (DI-2010, June 1995).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&amp; (b)  These are required by 43 CFR 12.50 and 43 CFR 12.912.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  These certifications are required by 43 CFR 12.510, 43 CFR 12.615, and 43 CFR 18.100(b).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section  18.100(b) - Conditions on use of funds states: “Each person who requests or receives from an agency a Federal contract, grant, loan, or cooperative agreement shall file with that agency a certification, set forth in appendix A to this part, that the person has not made, and will not make, any payment prohibited by paragraph (a) of this section.”  This certification is incorporated into DI-2010 (June 1995) which is required of each person who requests or receives a Federal grant or cooperative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43 CFR.12.917 applicable to institutions of higher education, hospitals, and nonprofit organizations, states: “Unless prohibited by statute or codified regulation, each Federal awarding agency is authorized and encouraged to allow recipients to submit certifications and representations required by statute, executive order, or regulation on an annual basis, if the recipients have ongoing and continuing relationships with the agency.  Annual certifications and representations shall be signed by responsible officials with the authority to ensure recipients’ compliance with the pertinent requirements.”   There is no corresponding authorization for States, Tribes, and local governments.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K-4.   What do I have to do as a result of Executive Order 13043, “Increasing Seat Belt Use in the United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following provision states the intent of Executive Order 13043, “Increasing Seat Belt Use in the United States”, dated April 16, 1997, and it must be incorporated into the subawards of all recipients: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center" w:pos="5535"/>
        </w:tabs>
        <w:rPr>
          <w:rFonts w:ascii="Times New Roman" w:hAnsi="Times New Roman" w:cs="Times New Roman"/>
          <w:sz w:val="16"/>
          <w:szCs w:val="16"/>
        </w:rPr>
      </w:pPr>
      <w:r>
        <w:rPr>
          <w:rFonts w:ascii="Times New Roman" w:hAnsi="Times New Roman" w:cs="Times New Roman"/>
          <w:sz w:val="20"/>
          <w:szCs w:val="20"/>
        </w:rPr>
        <w:tab/>
      </w:r>
      <w:r>
        <w:rPr>
          <w:rFonts w:ascii="Times New Roman" w:hAnsi="Times New Roman" w:cs="Times New Roman"/>
          <w:sz w:val="16"/>
          <w:szCs w:val="16"/>
        </w:rPr>
        <w:t>THE SEAT BELT PROVISION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20"/>
          <w:szCs w:val="20"/>
        </w:rPr>
      </w:pPr>
      <w:r>
        <w:rPr>
          <w:rFonts w:ascii="Times New Roman" w:hAnsi="Times New Roman" w:cs="Times New Roman"/>
          <w:sz w:val="16"/>
          <w:szCs w:val="16"/>
        </w:rPr>
        <w:t>Recipients of grants/cooperative agreements and/or sub-awards are encouraged to adopt and enforce on-the-job seat belt use policies and programs for their employees when operating company-owned, rented, or personally owned vehicles.  These measures include, but are not limited to, conducting education, awareness, and other appropriate programs for their employees about the importance of wearing seat belts and the consequences of not wearing them.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This is required at 43 CFR 12.2(e)(3)(i).</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 xml:space="preserve">L.   MODIFICATIONS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L-1.   Do I have to get prior approval to do something different than what is in the final proposal or grant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or subrecipient must obtain the prior written approval of the grant officer in the following situations:</w:t>
      </w:r>
    </w:p>
    <w:p w:rsidR="001F0636" w:rsidRDefault="001F0636">
      <w:pPr>
        <w:pStyle w:val="Level3"/>
        <w:numPr>
          <w:ilvl w:val="2"/>
          <w:numId w:val="31"/>
        </w:numPr>
        <w:tabs>
          <w:tab w:val="left" w:pos="-480"/>
          <w:tab w:val="left" w:pos="0"/>
          <w:tab w:val="left" w:pos="90"/>
          <w:tab w:val="left" w:pos="180"/>
          <w:tab w:val="left" w:pos="270"/>
          <w:tab w:val="num" w:pos="360"/>
          <w:tab w:val="left" w:pos="540"/>
          <w:tab w:val="left" w:pos="720"/>
          <w:tab w:val="left" w:pos="900"/>
          <w:tab w:val="left" w:pos="1080"/>
        </w:tabs>
        <w:ind w:left="360"/>
        <w:rPr>
          <w:sz w:val="20"/>
          <w:szCs w:val="20"/>
        </w:rPr>
      </w:pPr>
      <w:r>
        <w:rPr>
          <w:sz w:val="20"/>
          <w:szCs w:val="20"/>
        </w:rPr>
        <w:t>any action that is different than what is specified in the final proposal or grant agreement or any action that is likely to lead to a different result than what is specified in the final proposal or grant agreement;</w:t>
      </w:r>
    </w:p>
    <w:p w:rsidR="001F0636" w:rsidRDefault="001F0636">
      <w:pPr>
        <w:pStyle w:val="Level3"/>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360" w:hanging="90"/>
        <w:outlineLvl w:val="9"/>
        <w:rPr>
          <w:sz w:val="20"/>
          <w:szCs w:val="20"/>
        </w:rPr>
      </w:pPr>
      <w:r>
        <w:rPr>
          <w:sz w:val="20"/>
          <w:szCs w:val="20"/>
        </w:rPr>
        <w:fldChar w:fldCharType="begin"/>
      </w:r>
      <w:r>
        <w:rPr>
          <w:sz w:val="20"/>
          <w:szCs w:val="20"/>
        </w:rPr>
        <w:instrText>LISTNUM AutoList9 \l 3</w:instrText>
      </w:r>
      <w:r>
        <w:rPr>
          <w:sz w:val="20"/>
          <w:szCs w:val="20"/>
        </w:rPr>
        <w:fldChar w:fldCharType="end"/>
      </w:r>
      <w:r>
        <w:rPr>
          <w:sz w:val="20"/>
          <w:szCs w:val="20"/>
        </w:rPr>
        <w:tab/>
        <w:t xml:space="preserve">any of the following actions: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changes in the purpose and scope of the project;</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any extension of the funding period after the first extension (first extensions simply require written notification of the grant officer 10 days in advance with the supporting reasons and revised expiration date);</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additions to, deletions from, or substitutions for, the specific sites targeted for acquisition, habitat restoration, habitat enhancement, or habitat creation unless the proposal was approved without such sites being designated;</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 xml:space="preserve">initial identification of the specific tracts and interests in real property to be acquired for projects where such parcels or interests were not identified in the original proposal;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initial identification of the specific sites on which habitat will be restored, enhanced, or created where such parcels or interests were not identified in the original proposal;</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changes to the boundaries of the area within which sites will be selected for acquisition, restoration, enhancement, or creation;</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any change in the Restoration, Enhancement, or Wetland Creation techniques or specifications (e.g., the species to be planted or the number of seedlings to be planted per acre);</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changes in the proposed titleholder of any interests in real property purchased, donated, or otherwise acquired for the project;</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 cumulative decrease in the number of acres of wetlands in the response to Technical Assessment Question 4;</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 xml:space="preserve">a cumulative increase or decrease of any acreage category or subcategory in the responses to Technical Assessment Question 5 (including increases in match acreage) other than increases or decreases due to errors in acreage estimates, past surveying errors, or small amounts of additional acreage acquired in the process of acquiring the last </w:t>
      </w:r>
      <w:r>
        <w:rPr>
          <w:sz w:val="20"/>
          <w:szCs w:val="20"/>
        </w:rPr>
        <w:lastRenderedPageBreak/>
        <w:t>tract necessary to accomplish the acreage objective in each Tenure(Years) of Benefits category in the response of Technical Assessment Question 5;</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 substitution in the list of matching partners;</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 xml:space="preserve">any additions to the match greater than five percent of the total value of the match committed, other than increases in the fair market value of matching in-kind contributions;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 cumulative net decrease in the amount of match committed to the project;</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ind w:left="720"/>
        <w:outlineLvl w:val="9"/>
        <w:rPr>
          <w:sz w:val="20"/>
          <w:szCs w:val="20"/>
        </w:rPr>
      </w:pPr>
      <w:r>
        <w:rPr>
          <w:sz w:val="20"/>
          <w:szCs w:val="20"/>
        </w:rPr>
        <w:t xml:space="preserve">the inclusion of costs that are not allowed in accordance with the Federal Cost Principles or the policy of the NAWCA Grants Program;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the use of any subrecipients not mentioned in the proposal;</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 xml:space="preserve">the inclusion of costs that require prior approval in accordance with the applicable Federal Cost Principles;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 xml:space="preserve">the transfer of funds from a direct cost category (Acquisition, Restoration, Enhancement, Wetland Creation, or Other) that was included in the proposal’s budget to another direct cost category that was not in the proposal’s budget;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ind w:left="7200" w:hanging="6660"/>
        <w:rPr>
          <w:sz w:val="20"/>
          <w:szCs w:val="20"/>
        </w:rPr>
      </w:pPr>
      <w:r>
        <w:rPr>
          <w:sz w:val="20"/>
          <w:szCs w:val="20"/>
        </w:rPr>
        <w:sym w:font="Symbol" w:char="F0B7"/>
      </w:r>
      <w:r>
        <w:rPr>
          <w:sz w:val="20"/>
          <w:szCs w:val="20"/>
        </w:rPr>
        <w:tab/>
        <w:t>for any award supporting both nonconstruction and construction (includes all land acquisition), the transfer of funds from construction to non-construction or vice versa;</w:t>
      </w:r>
      <w:r>
        <w:rPr>
          <w:sz w:val="20"/>
          <w:szCs w:val="20"/>
        </w:rPr>
        <w:tab/>
      </w:r>
      <w:r>
        <w:rPr>
          <w:sz w:val="20"/>
          <w:szCs w:val="20"/>
        </w:rPr>
        <w:tab/>
      </w:r>
      <w:r>
        <w:rPr>
          <w:sz w:val="20"/>
          <w:szCs w:val="20"/>
        </w:rPr>
        <w:tab/>
      </w:r>
      <w:r>
        <w:rPr>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720"/>
        <w:rPr>
          <w:sz w:val="20"/>
          <w:szCs w:val="20"/>
        </w:rPr>
      </w:pPr>
      <w:r>
        <w:rPr>
          <w:sz w:val="20"/>
          <w:szCs w:val="20"/>
        </w:rPr>
        <w:t xml:space="preserve">.  </w:t>
      </w:r>
      <w:r>
        <w:rPr>
          <w:sz w:val="20"/>
          <w:szCs w:val="20"/>
        </w:rPr>
        <w:tab/>
      </w:r>
      <w:r>
        <w:rPr>
          <w:sz w:val="20"/>
          <w:szCs w:val="20"/>
        </w:rPr>
        <w:tab/>
      </w:r>
      <w:r>
        <w:rPr>
          <w:sz w:val="20"/>
          <w:szCs w:val="20"/>
        </w:rPr>
        <w:tab/>
      </w:r>
      <w:r>
        <w:rPr>
          <w:sz w:val="20"/>
          <w:szCs w:val="20"/>
        </w:rPr>
        <w:tab/>
      </w:r>
      <w:r>
        <w:rPr>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situations above requiring prior approval are based on 43 CFR 12.70 and 43 CFR 12.925.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One of the above bullets requires prior approval of “any extension of the funding period after the first extension (first extensions simply require written notification of the grant officer 10 days in advance with the supporting reasons and revised expiration date)”.  The one-time extension is specifically authorized for institutions of higher education, hospitals, and nonprofit organizations at 43 CFR 12.925(e)(2).  However, the awarding agency may authorize it for States, Tribes, and local governments because it does not constitute  “additional administrative requirements” as prohibited at 43 CFR 12.46(a).  Authorizing it for all recipients reduces the complexity of the rules governing the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Four of the bullets require prior approval for:</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ind w:left="720"/>
        <w:outlineLvl w:val="9"/>
        <w:rPr>
          <w:rFonts w:ascii="Times New Roman" w:hAnsi="Times New Roman" w:cs="Times New Roman"/>
          <w:sz w:val="16"/>
          <w:szCs w:val="16"/>
        </w:rPr>
      </w:pPr>
      <w:r>
        <w:rPr>
          <w:rFonts w:ascii="Times New Roman" w:hAnsi="Times New Roman" w:cs="Times New Roman"/>
          <w:sz w:val="16"/>
          <w:szCs w:val="16"/>
        </w:rPr>
        <w:t>additions to, deletions from, or substitutions for, the specific sites targeted for acquisition, habitat restoration, habitat enhancement, or habitat creation unless the proposal was approved without such sites being designated;</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sym w:font="Symbol" w:char="F0B7"/>
      </w:r>
      <w:r>
        <w:rPr>
          <w:rFonts w:ascii="Times New Roman" w:hAnsi="Times New Roman" w:cs="Times New Roman"/>
          <w:sz w:val="16"/>
          <w:szCs w:val="16"/>
        </w:rPr>
        <w:tab/>
        <w:t xml:space="preserve">initial identification of the specific tracts and interests in real property to be acquired for projects where such parcels or interests were not identified in the original proposal;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sym w:font="Symbol" w:char="F0B7"/>
      </w:r>
      <w:r>
        <w:rPr>
          <w:rFonts w:ascii="Times New Roman" w:hAnsi="Times New Roman" w:cs="Times New Roman"/>
          <w:sz w:val="16"/>
          <w:szCs w:val="16"/>
        </w:rPr>
        <w:tab/>
        <w:t>initial identification of the specific sites on which habitat will be restored, enhanced, or created where such parcels or interests were not identified in the original proposal;</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sym w:font="Symbol" w:char="F0B7"/>
      </w:r>
      <w:r>
        <w:rPr>
          <w:rFonts w:ascii="Times New Roman" w:hAnsi="Times New Roman" w:cs="Times New Roman"/>
          <w:sz w:val="16"/>
          <w:szCs w:val="16"/>
        </w:rPr>
        <w:tab/>
        <w:t>changes to the boundaries of the area within which sites will be selected for acquisition, restoration, enhancement, or creation.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work under these four bullets will require documentation of compliance with the National Historic Preservation Act, National Environmental Policy Act, and the Endangered Species Act.  In the case of land acquisition, it will also require “a finding by the Secretary that the real property interests should not be included in the National Wildlife Refuge System.” as required in NAWCA, section 6.(a)(3, and a contaminants survey for lands to be included in the National Wildlife Refuge System.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One of the bullets requires prior approval for “a cumulative net decrease in the amount of match committed to the project” Another bullet requires prior approval for “a substitution in the list of matching partners”.  The total match and the number of partners were criteria used in ranking the proposals.  It would not be fair to unsuccessful applicants to allow a recipient to reduce its commitments at will in these two areas.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One of the above bullets requires prior approval of “a cumulative increase or decrease of any acreage category or subcategory in the responses to Technical Assessment Question 5".</w:t>
      </w:r>
      <w:r>
        <w:rPr>
          <w:rFonts w:ascii="Times New Roman" w:hAnsi="Times New Roman" w:cs="Times New Roman"/>
          <w:sz w:val="20"/>
          <w:szCs w:val="20"/>
        </w:rPr>
        <w:t xml:space="preserve"> </w:t>
      </w:r>
      <w:r>
        <w:rPr>
          <w:rFonts w:ascii="Times New Roman" w:hAnsi="Times New Roman" w:cs="Times New Roman"/>
          <w:sz w:val="16"/>
          <w:szCs w:val="16"/>
        </w:rPr>
        <w:t xml:space="preserve"> A recipient must request permission to increase the acreage objectives beyond what was previously approved because, if the new acreage will be match, the addition of large tracts may significantly reduce the Federal share of any future sale of real property acquired under the project and significantly reduce the Federal share of any program income.  The recipient must demonstrate that an addition to a NAWCA project over and above the previously approved match commitment would serve some purpose sufficient under NAWCA to justify the reduction in the Federal share in the project.  If the purchase will be funded with grant funds, a recipient must request permission to purchase more acreage than what was previously approved, in part, to ensure that the additional acreage is not beyond the scope of the project.  In some cases, the purchase of additional acreage may be consistent with the purpose of the project.  In other cases, however, it may be appropriate for any cost savings to be returned to the NAWCA Grants Program for use on other projects that the North American Wetlands Conservation Council may choose to recommend for funding.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One of the above bullets requires prior approval for “any additions to the match greater than five percent of the total value of the match committed, other than increases in the fair market value of matching in-kind contributions”.  Any new matching in-kind contribution, must be evaluated to determine if its value is reasonable and if it is otherwise allowable.  The extra match may also increase the recipient’s attributable share of program income and any disposition of real property, equipment, and unused supplies.  Thus, the Federal interest in assets acquired in the project would be reduced.  Requiring prior approval of the additional acres will allow the grant officer to decide whether the additional match is worth the reduction in the Federal attributable of assets already acquired under the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One of the above bullets requires prior approval “for any award supporting both nonconstruction and construction (includes all land acquisition), the transfer of funds from construction to non-construction or vice versa”.  This is based on 43 CFR 12.70©)(3) which applies to States, Tribes, and local governments.  It states: “When a grant or subgrant provides funding for both construction and nonconstruction activities, the grantee or subgrantee must obtain prior written approval from the awarding agency before making any fund or budget transfer from nonconstruction to construction or vice versa.”  There is a similar authorization for prior approval at 43 CFR 12.925(j) which applies to institutions of higher education, hospitals and other nonprofit organizations.  It states: “When a Federal awarding agency makes an award that provides support for both </w:t>
      </w:r>
      <w:r>
        <w:rPr>
          <w:rFonts w:ascii="Times New Roman" w:hAnsi="Times New Roman" w:cs="Times New Roman"/>
          <w:sz w:val="16"/>
          <w:szCs w:val="16"/>
        </w:rPr>
        <w:lastRenderedPageBreak/>
        <w:t>construction and nonconstruction work, the Federal awarding agency may require the recipient to request prior approval before making any fund or budget transfers between the two types of work supported.”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L-2.   How do I get prior approval for a change in the proposal or grant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recipient must send a written request for prior approval to the grant officer at least 30 days before the recipient needs to know the grant officer’s decision on the requested modification.  The recipient must include a narrative justification with any request for changes in the Agreement or proposal.  A request for prior approval of any budget revision must be accompanied by a revised budget table in the same format as  in the original proposal.  The USFWS will not approve any change, where the recipient justifies the change based on  unforeseen or unanticipated circumstances if the circumstances could have been anticipated by better analysis of available data or better planning.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43 CFR 925(e)(2) requires that the recipient must notify the awarding agency of one-time 12-month extensions at least 10 days before the expiration of the project period, but the regulations do not specify the lead time needed for prior approval requests.  However, 43 CFR 12.925(m) provides that the awarding agency has 30 days from the receipt of a request for a budget revision to notify the recipient whether the budget revisions have been approved.  This was the precedent used for the 30-day lead time provided in this section of the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12.70(f)(1) states:  “A request for prior approval of any budget revision will be in the same budget format the grantee used in its application and shall be accompanied by a narrative justification for the proposed revision.”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12.925(l) states:  “When requesting approval for budget revisions, recipients shall use the budget forms that were used in the application unless the Federal awarding agency indicates that a letter of request suffices.”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L-3.   Why do I have to get prior approval for newly identified sites if the project was approved without sites being identified?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The recipient must request prior written approval for the initial designation of the specific sites of real property to be acquired and the sites on which habitat will be restored, enhanced, or created if the project was approved without such tracts being identified because the USFWS must ensure that: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b/>
          <w:bCs/>
          <w:sz w:val="20"/>
          <w:szCs w:val="20"/>
        </w:rPr>
      </w:pPr>
      <w:r>
        <w:rPr>
          <w:rFonts w:ascii="Times New Roman" w:hAnsi="Times New Roman" w:cs="Times New Roman"/>
          <w:sz w:val="20"/>
          <w:szCs w:val="20"/>
        </w:rPr>
        <w:t xml:space="preserve">(a) the real property interests should not be included in the National Wildlife Refuge System before providing Federal funds for the acquisition of these real property interests;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(b) the requirements of the National Environmental Policy Act and the Endangered Species Act have been met;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the National Historic Preservation Act’s Section 106 process will be completed;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(d) a contaminants survey is completed for all lands that will become part of the National Wildlife Refuge System or another Federal land management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This is required by NAWCA, Section 6.(a)(3).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(b) NAWCA, Section 5.(b) states: “Solely for the purpose of the National Environmental Policy Act of 1969 (42U.S.C. 4321 et seq.), recommendations by the Council for carrying out wetlands conservation projects under 4405(a) of this title shall be considered Federal actions requiring the preparation of environmental assessments or, where appropriate, environmental impact statements.”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36 CFR 800.3, </w:t>
      </w:r>
      <w:r>
        <w:rPr>
          <w:rFonts w:ascii="Times New Roman" w:hAnsi="Times New Roman" w:cs="Times New Roman"/>
          <w:sz w:val="16"/>
          <w:szCs w:val="16"/>
          <w:u w:val="single"/>
        </w:rPr>
        <w:t>Initiation of the section 106 process.</w:t>
      </w:r>
      <w:r>
        <w:rPr>
          <w:rFonts w:ascii="Times New Roman" w:hAnsi="Times New Roman" w:cs="Times New Roman"/>
          <w:sz w:val="16"/>
          <w:szCs w:val="16"/>
        </w:rPr>
        <w:t xml:space="preserve">, states: “The agency official shall determine whether the proposed Federal action is an undertaking as defined in § 800.16(y) and if so, whether it is a type of activity that has the potential to cause effects on historic properties.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36 CFR 800.16(y) states: </w:t>
      </w:r>
      <w:r>
        <w:rPr>
          <w:rFonts w:ascii="Times New Roman" w:hAnsi="Times New Roman" w:cs="Times New Roman"/>
          <w:i/>
          <w:iCs/>
          <w:sz w:val="16"/>
          <w:szCs w:val="16"/>
        </w:rPr>
        <w:t>Undertaking</w:t>
      </w:r>
      <w:r>
        <w:rPr>
          <w:rFonts w:ascii="Times New Roman" w:hAnsi="Times New Roman" w:cs="Times New Roman"/>
          <w:sz w:val="16"/>
          <w:szCs w:val="16"/>
        </w:rPr>
        <w:t xml:space="preserve"> means a project, activity, or program funded in whole or in part under the direct or indirect jurisdiction of a Federal agency; those carried out with Federal financial assistance; those requiring a Federal permit, license or approval; and those subject to State or local regulation administered pursuant to a delegation or approval by a Federal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 This is USFWS policy for lands to be included in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L-4.   How do I comply with the legal prerequisites for newly identified sites?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grant officer requires written confirmation from USFWS Regional Directors or their designees that a contaminants survey, the requirements of the National Environmental Policy Act and the Endangered Species Act, and the National Historic Preservation Act's (NHPA) Section 106 process has been completed or is in the process of being completed.  If a proposal includes work or acquisition of interests in real property over a large area where specific sites were not identified in the proposal or if the recipient or subrecipient proposes different project sites than those identified in the proposal, the recipient must contact the Joint Venture Coordinator as soon as sites are identified.  The Joint Venture Coordinator will then refer the recipient to the appropriate person in a USFWS Regional Office to ensure that any additional requirements regarding contaminants, NEPA, the Endangered Species Act, or NHPA are addressed.  If these consultations identify (a) potentially significant impacts regarding contaminants, archaeological sites, or the larger environment or (b) the need for additional surveys or documentation, the recipient must consult with the grant officer before making any commitments to acquire or work on the site(s).  Regardless of the findings regarding contaminants, NEPA, the Endangered Species Act, or NHPA, the recipient must have the grant officer’s prior written approval before proceeding with work on any site or acquisition of any interest in real property that was not identified in the original proposal or that is different than what was described in the original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During the pre-award period and pursuant to Section 6(a)(3) of NAWCA, the USFWS requests confirmation from its Divisions of Refuges and Realty and its appropriate Regional Office that all interests in real property proposed for acquisition in a NAWCA proposal should not be included in the National Wildlife Refuge System.  If the recipient is considering a change in a parcel or interest in real property to be acquired, or if it identifies a specific parcel or interest in real property to be acquired  for projects where such parcels or interests were not identified in the original proposal, the recipient must contact the Joint Venture Coordinator and the grant officer.  The Joint Venture Coordinator will review the previous confirmation that lands proposed for acquisition should not be included in the National Wildlife Refuge System.  The Joint Venture Coordinator will obtain from the appropriate Regional Office: (a) written confirmations from the appropriate USFWS officials that the previously obtained clearances will suffice; or (b) a new clearance that the newly proposed or newly identified parcel or interest in real property should not be included in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L-5.   If I run short of funds, may I request an increase in the Federal funds awarded for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recipient may not request an increase in the Federal funding awarded for the project because the grant officer does not have the authority to increase the Federal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L-6.   How do I extend the funding period the first time?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Any recipient may initiate a one-time extension of the expiration date of the award of up to 12 months unless the following conditions apply: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terms and conditions of award prohibit the extension;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the extension requires additional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the extension involves any change in the approved objectives or scope of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 xml:space="preserve">The recipient must notify the grant officer in writing with the supporting reasons and revised expiration date at least 10 days before the expiration date specified in the Agreement.  This one-time extension may not be exercised merely for the purpose of using unobligated balances.  It is the recipient’s responsibility to ensure that the grant officer receives the notification of a one-time extension and to maintain documentation of such receipt.  An e-mail confirmation requested by the recipient and returned by the grant officer or a fax receipt with photocopy are examples of satisfactory documentation.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one-time extension is specifically authorized for institutions of higher education, hospitals, and nonprofit organizations at 43 CFR 12.925(e)(2).  However, the awarding agency may also authorize it for States, Tribes, and local governments because it does not constitute  “additional administrative requirements” as prohibited at 43 CFR 12.46(a).  Authorizing it for all recipients reduces the complexity of the rules governing the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L-7.   May I request a funding period extension of more than 12 months?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A recipient may not request an extension of more than 12 months at a time.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Although 43 CFR 12.925(e)(2) provides a precedent of a 12-month one-time extension that is available upon notification, 43 CFR, part 12, does not specify the maximum length of an extensions for which the recipient must request prior approval..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L-8.   How many funding-period extensions are possible under a NAWCA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b/>
          <w:bCs/>
          <w:sz w:val="20"/>
          <w:szCs w:val="20"/>
        </w:rPr>
      </w:pPr>
      <w:r>
        <w:rPr>
          <w:rFonts w:ascii="Times New Roman" w:hAnsi="Times New Roman" w:cs="Times New Roman"/>
          <w:sz w:val="20"/>
          <w:szCs w:val="20"/>
        </w:rPr>
        <w:t>A funding period may not exceed a total of five years including extensions.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43 CFR, part 12, does not mention a maximum length for the funding period.  The decision to set five years as the maximum funding period has its origin in the informal policy of the USFWS’s Division of Contracting and Financial Management.  At some point, a new project becomes a better place to invest scarce funds than a project with a track record of non-completion.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L-9.   Isn’t it the responsibility of the USFWS to notify me when the funding period is about to expire?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recipient is responsible for keeping track of when the funding period expires and when it is necessary to notify USFWS of a one-time extension or requesting subsequent extensions.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part 12, does not require the awarding agency to notify the recipient of the pending expiration of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OMB Circular A-102, “Grants and Cooperative Agreements with State and Local Governments”, in Section 3.a. states: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rPr>
          <w:rFonts w:ascii="Times New Roman" w:hAnsi="Times New Roman" w:cs="Times New Roman"/>
          <w:sz w:val="20"/>
          <w:szCs w:val="20"/>
        </w:rPr>
      </w:pPr>
      <w:r>
        <w:rPr>
          <w:rFonts w:ascii="Times New Roman" w:hAnsi="Times New Roman" w:cs="Times New Roman"/>
          <w:sz w:val="16"/>
          <w:szCs w:val="16"/>
        </w:rPr>
        <w:t>Federal agencies shall notify grantee’s in writing before the end of the grant period of final reports that shall be due, the dates by which they must be received, and where they must be submitted.  Copies of any required forms and instructions for their completion shall be included with this notification.</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NAWCA Grants Program satisfied this requirement by incorporating this policy into the grant agreement between USFWS and each grant recipient.  The policy also specifies the required forms and provides web sites where the forms may be downloaded or filled out on line and printed out.  These actions satisfy the above-cited notification requirements in A-102.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L-10.   After the funding period expires, may I be reimbursed for project costs that I incurred during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If the recipient allows a funding period to expire by failing to notify USFWS of the first extension or requesting a subsequent extension, it may be reimbursed only for those allowable costs that were incurred as eligible pre-award costs and those costs incurred during the funding period.  The consequences of not achieving the acreage objectives are presented under Remedies for Noncompliance.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12.91©) provides: “The Federal agency will within 90 days after receipt of reports in paragraph (b) of this section, make upward or downward adjustments to the allowable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12.971(e) provides: “When authorized by the terms and conditions of the award, the Federal awarding agency shall make a settlement for any upward or downward adjustments to the Federal share of costs after closeout reports are received.”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12.92 and 43 CFR 12.973 (a) provide: “Any funds paid to a grantee in excess of the amount to which the grantee is finally determined to be entitled under the terms of the award constitute a debt to the Federal Government.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L-11.  How will USFWS decide on a request to decrease acres in the responses to Technical Assessment Questions 4 and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u w:val="single"/>
        </w:rPr>
        <w:t>General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grant officer may allow decreases in the project’s acreage objectives as stated in the responses to Technical Assessment Questions 4 and 5 if the request for prior approval is accompanied by a persuasive justification.  The request will be granted only for one of the following reasons: (a) to achieve a higher level of protection; (b) to obtain a greater level of public use; ©) to obtain a superior conservation value within the proposal purpose; or (d) as a last resort to save the project from termination due to the likelihood of accomplishments less than what was estimated in the proposal.  In the case of (d), the grant officer will not approve any request for an acreage decrease if the circumstances leading to the request for prior approval of a decrease could have been anticipated by an analysis of trends in the prices of goods, services, land, or other factors that may have reduced accomplishments.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grant officer considers reason (d) above as a justification for granting a requested decrease in the project’s acreage objectives, he or she must use three criteria in making the decision: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Could the recipient have foreseen the difficulties in accomplishing the proposed acres at the time the proposal was submitted or at least by the time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Are alternatives available that will lead to full accomplishment on acres other than what was originally proposed?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What are the consequences for the project of accomplishing a reduced number of acres?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u w:val="single"/>
        </w:rPr>
        <w:t>Acquisition Only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grant officer will not approve a request for prior approval that will lead to a decrease of more than 25 percent of the </w:t>
      </w:r>
      <w:r>
        <w:rPr>
          <w:rFonts w:ascii="Times New Roman" w:hAnsi="Times New Roman" w:cs="Times New Roman"/>
          <w:sz w:val="20"/>
          <w:szCs w:val="20"/>
          <w:u w:val="single"/>
        </w:rPr>
        <w:t>wetland</w:t>
      </w:r>
      <w:r>
        <w:rPr>
          <w:rFonts w:ascii="Times New Roman" w:hAnsi="Times New Roman" w:cs="Times New Roman"/>
          <w:sz w:val="20"/>
          <w:szCs w:val="20"/>
        </w:rPr>
        <w:t xml:space="preserve"> acres to be acquired in a project that has only acquisition acres as its objectives in the recipient’s response to Technical Assessment Question 4.  The grant officer, in determining the 25 percent limit and at his or her discretion, may assign weighting factors to the acres in different estate categories.  An example of how weighting factors might be applied is as follows.  If part of the wetlands to be acquired consists of fee title and part consists of leases and easements with terms of 50 years, the grant officer may assign to each fee-title acre a decimal weighting factor of 1.0 and to each 50-year-lease acre and each 50-year-easement acre a decimal weighting factor of 0.5.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grant officer will not approve a request for prior approval that will lead to a decrease of more than 25 percent of the acres to be acquired in a project that has only acquisition acres as its objectives in the recipient’s response to Technical Assessment Question 5.  If the acreage objectives include a mix of different estates [tenure or years of benefits] representing fee title, perpetual easements, term easements, and leases, the grant officer may, at his or her discretion, assign weighting factors determined in the manner described above for Technical Assessment Question 4 except the weighting factors may potentially be assigned to any acres entered under Technical Assessment Question 5 and not just wetlands.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u w:val="single"/>
        </w:rPr>
        <w:t>Restoration/Enhancement/Wetland Creation Only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grant officer will not approve a request for prior approval that will lead to a decrease of more than 25 percent of the </w:t>
      </w:r>
      <w:r>
        <w:rPr>
          <w:rFonts w:ascii="Times New Roman" w:hAnsi="Times New Roman" w:cs="Times New Roman"/>
          <w:sz w:val="20"/>
          <w:szCs w:val="20"/>
          <w:u w:val="single"/>
        </w:rPr>
        <w:t>wetland</w:t>
      </w:r>
      <w:r>
        <w:rPr>
          <w:rFonts w:ascii="Times New Roman" w:hAnsi="Times New Roman" w:cs="Times New Roman"/>
          <w:sz w:val="20"/>
          <w:szCs w:val="20"/>
        </w:rPr>
        <w:t xml:space="preserve"> acres </w:t>
      </w:r>
      <w:r>
        <w:rPr>
          <w:rFonts w:ascii="Times New Roman" w:hAnsi="Times New Roman" w:cs="Times New Roman"/>
          <w:sz w:val="20"/>
          <w:szCs w:val="20"/>
        </w:rPr>
        <w:lastRenderedPageBreak/>
        <w:t>to be restored, enhanced, and created in a project that has only restoration/enhancement/wetland creation acres as its objectives in the recipient’s response to Technical Assessment Question 4.  Suppose the acreage objectives may include restoration/enhancement/wetland creation: (a) for a mix of different periods of time that the recipient has agreed to protect or maintain the restoration/enhancement/wetland creation, and/or (b) on a mix of different estates [tenure or years of benefits] representing fee title, perpetual easements, term easements, and/or leases.  In such cases the grant officer may, at his or her discretion, assign weighting  factors to the acres in the different estate categories and/or to different periods of time that the recipient has committed to protect or maintain the restoration/enhancement/ wetland creation.  An example of how weighting factors might be applied is as follows.  Suppose part of the restoration/enhancement/ wetland creation will occur on a 15-year lease held by the recipient and part will occur on acreage owned by the recipient in fee title.  Suppose further that the recipient has only agreed to maintain a wetland restoration for 25 years (which is the standard requirement for restoration/enhancement/wetland creation in the NAWCA grants program) on part of the acreage owned in fee title, but has committed to protect in perpetuity an area of wetland forest restoration on another part of the acreage owned in fee title.  The 15-year lease would be assigned a weighting factor of 0.6, the wetland restoration with the standard 25-year commitment would be assigned a weighting factor of 1.0, and the wetland forest restoration to be protected in perpetuity would be assigned a 4.0.  Whatever weighting factor scheme is used, a 99-year lease, a perpetual easement, and fee simple will always be four times the weight assigned to a standard 25-year commitment for restoration/enhancement/wetland creation.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grant officer will not approve a request for prior approval that will lead to a decrease of more than 25 percent of the acres to be restored/enhanced/created in a project that has only restoration/enhancement/creation acres as objectives in the recipient’s response to Technical Assessment Question 5.  If the acreage objectives include (a) a mix of different periods of time that the recipient has agreed to protect or maintain the restoration/enhancement/creation, and/or (b) a mix of different estates [tenure or years of benefits] representing fee title, perpetual easements, term easements, and leases, the grant officer may, at his or her discretion, assign weighting  factors determined in the manner described above for Technical Assessment Question 4 except the weighting factors may potentially be assigned to any acres entered under Technical Assessment Question 5 and not just wetlands.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u w:val="single"/>
        </w:rPr>
        <w:t>Acquisition and Restoration/Enhancement/Wetland Creation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If a recipient has committed to acquire at least 25 percent of the total acres in a project </w:t>
      </w:r>
      <w:r>
        <w:rPr>
          <w:rFonts w:ascii="Times New Roman" w:hAnsi="Times New Roman" w:cs="Times New Roman"/>
          <w:sz w:val="20"/>
          <w:szCs w:val="20"/>
          <w:u w:val="single"/>
        </w:rPr>
        <w:t>and</w:t>
      </w:r>
      <w:r>
        <w:rPr>
          <w:rFonts w:ascii="Times New Roman" w:hAnsi="Times New Roman" w:cs="Times New Roman"/>
          <w:sz w:val="20"/>
          <w:szCs w:val="20"/>
        </w:rPr>
        <w:t xml:space="preserve"> to restore, enhance, and create-as-wetlands on at least 25 percent of the total acres in a project, the grant officer will not approve a request for prior approval that will lead to a decrease of: (a) more than 25 percent of the </w:t>
      </w:r>
      <w:r>
        <w:rPr>
          <w:rFonts w:ascii="Times New Roman" w:hAnsi="Times New Roman" w:cs="Times New Roman"/>
          <w:sz w:val="20"/>
          <w:szCs w:val="20"/>
          <w:u w:val="single"/>
        </w:rPr>
        <w:t>wetland</w:t>
      </w:r>
      <w:r>
        <w:rPr>
          <w:rFonts w:ascii="Times New Roman" w:hAnsi="Times New Roman" w:cs="Times New Roman"/>
          <w:sz w:val="20"/>
          <w:szCs w:val="20"/>
        </w:rPr>
        <w:t xml:space="preserve"> acres to be acquired in the recipient’s response to Technical Assessment Question 4, </w:t>
      </w:r>
      <w:r>
        <w:rPr>
          <w:rFonts w:ascii="Times New Roman" w:hAnsi="Times New Roman" w:cs="Times New Roman"/>
          <w:sz w:val="20"/>
          <w:szCs w:val="20"/>
          <w:u w:val="single"/>
        </w:rPr>
        <w:t>or</w:t>
      </w:r>
      <w:r>
        <w:rPr>
          <w:rFonts w:ascii="Times New Roman" w:hAnsi="Times New Roman" w:cs="Times New Roman"/>
          <w:sz w:val="20"/>
          <w:szCs w:val="20"/>
        </w:rPr>
        <w:t xml:space="preserve"> (b) more than 25 percent of the </w:t>
      </w:r>
      <w:r>
        <w:rPr>
          <w:rFonts w:ascii="Times New Roman" w:hAnsi="Times New Roman" w:cs="Times New Roman"/>
          <w:sz w:val="20"/>
          <w:szCs w:val="20"/>
          <w:u w:val="single"/>
        </w:rPr>
        <w:t>wetland</w:t>
      </w:r>
      <w:r>
        <w:rPr>
          <w:rFonts w:ascii="Times New Roman" w:hAnsi="Times New Roman" w:cs="Times New Roman"/>
          <w:sz w:val="20"/>
          <w:szCs w:val="20"/>
        </w:rPr>
        <w:t xml:space="preserve"> acres to be restored, enhanced, and created in the recipient’s response to Technical Assessment Question 4.  If the acreage objectives include (a) a mix different periods of commitment to maintain or protect wetland acres that will be restored/enhanced/created, and/or (b) a mix of different estates [tenure or years of benefits] representing fee title, perpetual easements, term easements, and leases, the grant officer may, at his or her discretion, assign weighting factors determined in the manner described above.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a recipient has committed to acquire at least 25 percent of the total acres in a project </w:t>
      </w:r>
      <w:r>
        <w:rPr>
          <w:rFonts w:ascii="Times New Roman" w:hAnsi="Times New Roman" w:cs="Times New Roman"/>
          <w:sz w:val="20"/>
          <w:szCs w:val="20"/>
          <w:u w:val="single"/>
        </w:rPr>
        <w:t>and</w:t>
      </w:r>
      <w:r>
        <w:rPr>
          <w:rFonts w:ascii="Times New Roman" w:hAnsi="Times New Roman" w:cs="Times New Roman"/>
          <w:sz w:val="20"/>
          <w:szCs w:val="20"/>
        </w:rPr>
        <w:t xml:space="preserve"> to restore, enhance, and create-as-wetlands on at least 25 percent of the total acres in a project, the grant officer will not approve a request for prior approval that will lead to a decrease of: (a) more than 25 percent of the acres to be acquired in the recipient’s response to Technical Assessment Question 5, </w:t>
      </w:r>
      <w:r>
        <w:rPr>
          <w:rFonts w:ascii="Times New Roman" w:hAnsi="Times New Roman" w:cs="Times New Roman"/>
          <w:sz w:val="20"/>
          <w:szCs w:val="20"/>
          <w:u w:val="single"/>
        </w:rPr>
        <w:t>or</w:t>
      </w:r>
      <w:r>
        <w:rPr>
          <w:rFonts w:ascii="Times New Roman" w:hAnsi="Times New Roman" w:cs="Times New Roman"/>
          <w:sz w:val="20"/>
          <w:szCs w:val="20"/>
        </w:rPr>
        <w:t xml:space="preserve"> (b) more than 25 percent of the acres to be restored, enhanced, and created-as-wetlands in the recipient’s response to Technical Assessment Question 5.  If the acreage objectives include (a) a mix of different periods of commitment to maintain or protect wetland acres that will be restored/enhanced/created, and/or (b) a mix of different estates [tenure or years of benefits] representing fee title, perpetual easements, term easements, and leases, the grant officer may, at his or her discretion, assign weighting  factors determined in the manner described above for Technical Assessment Question 4 except the weighting factors may potentially be assigned to any acres entered under Technical Assessment Question 5 and not just wetlands.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following provisions apply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12.925©) states: “For nonconstruction awards, recipients shall request prior approvals for Federal awarding agencies for one or more of the following program or budget-related reasons: (1) Change in the scope or the objective of the project or program (even if there is no associated budget revision requiring prior written approval.”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12.925(h)(1) states: “For construction awards, recipients shall request prior written approval promptly from Federal awarding agencies for budget revisions whenever paragraph (h) (1), (2) or (3) of this section apply: (1) the revision results from changes in the scope or the objective of the project or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12.961 states: “Awards may be terminated in whole or in part only if paragraph (a)(1), (a)(2), or (a)(3) of this section applies. (1) By the Federal awarding agency, if a recipient materially fails to comply with the terms and conditions of an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There are parallel provisions for States, Tribes, and local governments at 43 12.70(d) and 43 CFR 12.83(a).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first two provisions above for institutions of higher education, hospitals, and nonprofit organizations establish that the recipient must request prior approval if there is a change in the scope or objective.  The third provision introduces the concept of “materially fails to comply”.  This section of the policy sets a threshold of what level of shortfall in the accomplishment of the acreage objectives is acceptable.  It establishes 75 percent as the key threshold.  The grant officer will not approve any request for prior approval that will lead to a decrease in the of more than 25 percent of the acres to be accomplished, which is the threshold, below which there would be a material failure to comply.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rationale for 4.0 being the highest weighting factor used is that early State court decisions have held that leases of 100 years or more are tantamount to the conveyance of fee simple title. (John W. Reilly, The Language of Real Estate, 1993, p.252)</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number of years halfway between 75 years (which would have a weighting factor of three) and 100 years (which would have a weighting factor of four) is 87.5.  Thus, for any period of time longer than 87.5 years, the weighting factor rounds up from three to four.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L-12.   Do I have to obtain prior written approval to change my project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A recipient does not have to obtain the USFWS’s prior written approval to change the project officer because the USFWS waives this requirement .  The recipient only has to submit a written notice to the USFWS grant officer with the name, mailing address, telephone number, fax number, e-mail address, and the date that the appointment takes effect.  This written notice must have: (a) the original signature of an official of the recipient organization who is authorized to designate such project officer; (b) the printed name and title of such official; and the date on which the appointment of the project officer will take effect.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Project officers must be familiar with the details of a proposal and the progress in completing the project.  Project officers must also be available to discuss the project with the grant officer by telephone or e-mail.  The recipient must designate another project officer upon request by the grant officer if the grant officer experiences significant problems in contacting or obtaining information from the designated project officer or if the grant officer anticipates such problems as a result of experience in previous grants.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12.70(a) and 43 CFR 12.925(e) authorize a waiver of the requirement for prior written approval of a change in the project officer.  See also 43 CFR 12.70(d)(3).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L-13.   Does the USFWS have to be notified of a new project officer by any minimum period before the appointment?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The USFWS grant officer does not have to receive the written notice that designates a new project officer by any minimum period before the appointment is scheduled to take effect.  If the recipient so indicates in writing, the appointment may take effect as soon as the grant officer receives the notice.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L-14.   Can the USFWS grant officer make an exception to this Policy and the grant administration regulations?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USFWS has the authority to approve, on a case-by-case basis, an exception to 43 CFR, part 12, and any policy based on those regulations unless the provision is derived from a statute or another Federal regulation without such exception authority.  The recipient must request prior approval of such case-by-case exceptions by sending a written request for prior approval to the grant officer at least 30 days before the recipient needs to know the grant officer’s decision on the case-by-case exception.  The recipient must include a narrative justification with any request for a case-by-case exception.  A request for prior approval of any case-by-case exception that will result in a budget revision must be accompanied by a revised budget table in the same format as in the original proposal.  The USFWS will not approve any change if the recipient could have anticipated the circumstances leading to the need for the request by better analysis of available data or better planning.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For land acquisition regulations under 49 CFR, part 24, most acquisitions will qualify for an “exception process”, which will exempt it from certain requirements if the recipient follows the procedures provided in this Policy.  Beyond the “exception process”, the grant officer’s authority to approve exceptions mostly falls under the waiver provisions of 49 CFR, part 24, which is more restrictive than the case-by-case exception authority under 43 CFR, part 24.  For more information, consult the waiver provisions of this Policy in the Real Property Acquisition section.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12.46©)  “Exceptions on a case-by-case basis and for subgrantees may be authorized by the affected Federal agencies.”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12.70(f)(1) “A request for prior approval of any budget revision will be in the same budget format the grantee used in its application and shall be accompanied by a narrative justification for the proposed revision.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12.904  “Exceptions on a case-by-case basis may also be made by Federal awarding agencies.  Bureau/office application of less restrictive requirements when awarding small awards, except for those requirements which are statutory, as well as exceptions on a case-by-case basis, will be handled by designated officials identified in bureau/office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12.925(l) When requesting approval for budget revisions, recipients shall use the budget forms that were used in the application unless the Federal awarding agency indicates that a letter of request suffices.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L-15.   May I accomplish more acres than originally approved?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 xml:space="preserve"> If it is approved by the grant officer, the recipient may (a) use excess Federal grant funds, (b) accept (or provide) and use matching cash above what was originally committed, or ©) accept (or provide) acres of matching in-kind contribution above what was originally committed.  To initiate the process of seeking the grant officer’s approval, the project officer must request the grant officer’s permission to modify Technical Assessment Questions 4 and 5.  If the requested modifications are consistent with the original project purpose and geography, the grant officer may approve the request.  The grant officer may approve any request to modify the project area as long as the requested modifications are consistent with the apparent rationale for the original delineation of the project area, e.g., the same ecosystem, vegetation type, and/or hydrological unit.  If the project officer approves a request for any modification of Technical Assessment Questions 4 and 5 that would involve the use of any excess grant funds, the Chief of the USFWS’s Division of Bird Habitat Conservation, Branch of Grants (or any successor unit), must concur with the decision in writing.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b/>
          <w:bCs/>
          <w:sz w:val="16"/>
          <w:szCs w:val="16"/>
        </w:rPr>
      </w:pPr>
      <w:r>
        <w:rPr>
          <w:rFonts w:ascii="Times New Roman" w:hAnsi="Times New Roman" w:cs="Times New Roman"/>
          <w:sz w:val="20"/>
          <w:szCs w:val="20"/>
        </w:rPr>
        <w:t>If the recipient accepts (or provides) matching cash above what was originally committed, or accepts (or provides) acres of matching in-kind contribution above what was originally committed, it may reduce the Federal share of any future sale of real property acquired under the project and significantly reduce the Federal share of any program income or future disposition of real property.  In addition to consistency with purpose and geography, the recipient must also demonstrate that acreage objectives above the previously approved match commitment would serve a purpose sufficient under NAWCA to justify the reduction in the Federal share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This policy provision is based on a decision document approved on April 15, 2004, by the Chief of the USFWS Division of Bird Habitat Conservation, who is also the Coordinator of the North American Wetlands Conservation Council.  An additional decision criterion is listed above for acreage to be acquired with additional matching cash or received as a matching in-kind contribution.  It is included to preclude the addition to a project of large amounts of matching cash or in-kind contributions that would have been realized in any case, and would reduce the Federal share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M.   REMEDIES FOR NONCOMPLIANCE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   What will I have to demonstrate that I accomplished by the end of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At the end of the funding period, a NAWCA grant recipient must be able to demonstrate that it did all of the following unless the grant officer gave prior approval for a lower level of accomplishment:</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acquired, restored, enhanced, or created at least the total number of acres of wetlands that were projected for each activity and  estate category (i.e., fee, easement, lease) in the response to Technical Assessment Question 4 in the proposal;</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acquired, restored, enhanced, or created at least the number of acres in each of the activities and Acres by Tenure (Years) of benefits categories in the response to Technical Assessment Question 5 in the proposal;</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 xml:space="preserve">received at least the total amount of matching cash and value of matching in-kind contributions that were committed in the proposal; and </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acquired, restored, enhanced, or created habitat of the same quality and with the same specifications described in the proposal. (In the absence of specifications in the proposal, the grant officer will rely on generally recognized standards in the applicable industry, trade, or profession.)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Acquisition, restoration, enhancement, and wetland creation have their origin as accomplishment objectives of the NAWCA Grants Program in Section 2.(b)(1) of NAWCA.  It states: “The purposes of this Act are to encourage partnership among public agencies and other interests – (1) to protect, enhance, restore, and manage an appropriate distribution and diversity of wetland ecosystems and other habitats for migratory birds and other fish and wildlife in North America.”  Acquisition for eventual management by a nonprofit or a public land management agency serves to “protect” and “manage” the wetland ecosystems and other habitats as specified in the Act.  Wetland creation is a category of accomplishment that is required under the USFWS’s application of the Government Performance and Results Act.  Although it is not mentioned in NAWCA, it is a variation of enhancement.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M-2.   What are the potential consequences of a failure to comply with the terms of an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If a recipient fails to comply with the terms of an award without the grant officer’s prior approval, the grant officer may apply one or more of the following remedies: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(a) </w:t>
      </w:r>
      <w:r>
        <w:rPr>
          <w:rFonts w:ascii="Times New Roman" w:hAnsi="Times New Roman" w:cs="Times New Roman"/>
          <w:sz w:val="20"/>
          <w:szCs w:val="20"/>
        </w:rPr>
        <w:tab/>
        <w:t>Temporarily withhold cash payments pending correction of the deficiency by the recipient or more severe enforcement action by USFWS.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(b) </w:t>
      </w:r>
      <w:r>
        <w:rPr>
          <w:rFonts w:ascii="Times New Roman" w:hAnsi="Times New Roman" w:cs="Times New Roman"/>
          <w:sz w:val="20"/>
          <w:szCs w:val="20"/>
        </w:rPr>
        <w:tab/>
        <w:t>Disallow (that is, deny both use of funds and any applicable matching credit for) all or part of the cost of the activity or action not in 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Wholly or partly suspend or terminate the current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lastRenderedPageBreak/>
        <w:t xml:space="preserve">(d) </w:t>
      </w:r>
      <w:r>
        <w:rPr>
          <w:rFonts w:ascii="Times New Roman" w:hAnsi="Times New Roman" w:cs="Times New Roman"/>
          <w:sz w:val="20"/>
          <w:szCs w:val="20"/>
        </w:rPr>
        <w:tab/>
        <w:t xml:space="preserve">Make a downward adjustment of to the Federal share of costs after the final reports are received. </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Withhold further awards for the project or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sz w:val="20"/>
          <w:szCs w:val="20"/>
        </w:rPr>
      </w:pPr>
      <w:r>
        <w:rPr>
          <w:sz w:val="20"/>
          <w:szCs w:val="20"/>
        </w:rPr>
        <w:t xml:space="preserve">(f) </w:t>
      </w:r>
      <w:r>
        <w:rPr>
          <w:sz w:val="20"/>
          <w:szCs w:val="20"/>
        </w:rPr>
        <w:tab/>
        <w:t>Take other remedies that may be legally available.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sz w:val="20"/>
          <w:szCs w:val="20"/>
        </w:rPr>
      </w:pPr>
      <w:r>
        <w:rPr>
          <w:sz w:val="20"/>
          <w:szCs w:val="20"/>
        </w:rPr>
        <w:t>(g)</w:t>
      </w:r>
      <w:r>
        <w:rPr>
          <w:sz w:val="20"/>
          <w:szCs w:val="20"/>
        </w:rPr>
        <w:tab/>
        <w:t xml:space="preserve">Place the recipient on a list of recipients that did not fulfill the commitments of a NAWCA Agreement and proposal.  This list will be made available to the staff and members of the North American Wetlands Conservation Council.  Once on the list, a recipient will remain on the list for at least one complete application cycle, i.e., from the due date for proposals until the MBCC funds the first of these proposals.  The recipient will be removed from this list as soon as the corrective actions specified by the project officer are completed or until at least one complete application cycle is completed whichever comes later.  An application cycle begins on the due date for the USFWS’s receipt of proposals and ends with the MBCC’s funding of proposals submitted by that due date.  In some cases a corrective action may not be possible, in which case the recipient will remain on the list for at least one complete application cycle and at most six complete application cycles (approximately three years) depending on the criteria presented below.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sz w:val="20"/>
          <w:szCs w:val="20"/>
        </w:rPr>
      </w:pPr>
      <w:r>
        <w:rPr>
          <w:sz w:val="20"/>
          <w:szCs w:val="20"/>
        </w:rPr>
        <w:t>(h)</w:t>
      </w:r>
      <w:r>
        <w:rPr>
          <w:sz w:val="20"/>
          <w:szCs w:val="20"/>
        </w:rPr>
        <w:tab/>
        <w:t xml:space="preserve">Impose special award conditions as needed, if an applicant or 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   has a history of unsatisfactory performance;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(ii)  is not financially stable;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(iii) has a management system that does not meet the standards prescribed in 43 CFR, part 12;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(iv) has not conformed to the terms and conditions of a previous award;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 xml:space="preserve">(v)  is not otherwise responsible.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sz w:val="20"/>
          <w:szCs w:val="20"/>
        </w:rPr>
      </w:pPr>
      <w:r>
        <w:rPr>
          <w:sz w:val="20"/>
          <w:szCs w:val="20"/>
        </w:rPr>
        <w:t xml:space="preserve">Special award conditions may include: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   reimbursement only (no advances);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 xml:space="preserve">(ii)  withholding authority to proceed to the next phase until receipt of evidence of acceptable performance within a given         funding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 xml:space="preserve">(iii) requiring additional more detailed financial reporting,;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(iv) additional project monitoring;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(v)  requiring the recipient or subrecipient to obtain technical or management assistance;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(vi) establishing additional prior approvals.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sz w:val="20"/>
          <w:szCs w:val="20"/>
        </w:rPr>
      </w:pPr>
      <w:r>
        <w:rPr>
          <w:sz w:val="20"/>
          <w:szCs w:val="20"/>
        </w:rPr>
        <w:t>The grant officer will notify the recipient or subrecipient as early as possible, in writing, of: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   the nature of the special conditions/restrictions;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(ii)  the reasons for imposing them;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(iii) the corrective actions which must be taken before they will be removed and the time allowed for completing the                  corrective actions;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lastRenderedPageBreak/>
        <w:t>(iv) the method of requesting reconsideration of the conditions/restrictions imposed.</w:t>
      </w:r>
    </w:p>
    <w:p w:rsidR="001F0636" w:rsidRDefault="001F0636">
      <w:pPr>
        <w:pStyle w:val="Level4"/>
        <w:tabs>
          <w:tab w:val="left" w:pos="-480"/>
          <w:tab w:val="left" w:pos="0"/>
          <w:tab w:val="left" w:pos="90"/>
          <w:tab w:val="left" w:pos="180"/>
          <w:tab w:val="left" w:pos="270"/>
          <w:tab w:val="num" w:pos="360"/>
          <w:tab w:val="left" w:pos="540"/>
          <w:tab w:val="left" w:pos="720"/>
          <w:tab w:val="left" w:pos="900"/>
          <w:tab w:val="left" w:pos="1080"/>
        </w:tabs>
        <w:ind w:left="360" w:hanging="90"/>
        <w:rPr>
          <w:sz w:val="20"/>
          <w:szCs w:val="20"/>
        </w:rPr>
      </w:pPr>
      <w:r>
        <w:rPr>
          <w:sz w:val="20"/>
          <w:szCs w:val="20"/>
        </w:rPr>
        <w:t>Refer information on the existence of a cause for suspension of a recipient or subrecipient to the Director of the Office of Acquisition and Property Management of the Department of the Interior.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270"/>
        <w:rPr>
          <w:sz w:val="20"/>
          <w:szCs w:val="20"/>
        </w:rPr>
      </w:pPr>
      <w:r>
        <w:rPr>
          <w:sz w:val="20"/>
          <w:szCs w:val="20"/>
        </w:rPr>
        <w:t>(j)</w:t>
      </w:r>
      <w:r>
        <w:rPr>
          <w:sz w:val="20"/>
          <w:szCs w:val="20"/>
        </w:rPr>
        <w:tab/>
        <w:t xml:space="preserve">Refer information on the existence of a cause for debarment of a recipient or subrecipient to the Director of the Office of Acquisition and Property Management of the Department of the Interior.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authorities for the possible consequences of a failure to comply with the terms of an award are presented below.  The letters correspond to the letters in the above response.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(e), &amp; (f) These are stipulated in 43 CFR 12.83(a), which is applicable to States, Tribes, and local governments, and 43 CFR 12.962(a), which is applicable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(d) The authority for a downward adjustment in the Federal share of allowable costs is at 43 CFR 12.90©) and 43 CFR 12.971(e).  In addition, 43 CFR 12.70(d), 43 CFR 12.925©)(1), and 43 CFR 12..925(h)(1), taken together,  require all categories of grant recipients to obtain prior approval for changes in the scope or the objectives of the project.  If the acres accomplished or the match received are less than the proposal’s objectives, and the project officer did not obtain the grant officer’s prior approval, then the change was unallowable.  The consequence will be a downward adjustment in the Federal share of costs.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(g) The authority for this is at 43 CFR 12.83(a)(4)&amp;(5), which is applicable to States, Tribes, and local governments, and 43 CFR 12.962(a)(4)&amp;(5), which is applicable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(h) These additional requirements and the associated conditions are prescribed in 43 CFR 12.52, which is applicable to States, Tribes, and local governments, and are consistent with the requirements in 43 CFR 12.914, which is applicable to institutions of higher education, hospitals, and nonprofit organizations.  See also 43 CFR 12.61(d) 43 CFR 12.922 (e) for additional authority to require payment by reimbursement only.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 The authority for this action is 43 CFR 12.100 </w:t>
      </w:r>
      <w:r>
        <w:rPr>
          <w:rFonts w:ascii="Times New Roman" w:hAnsi="Times New Roman" w:cs="Times New Roman"/>
          <w:i/>
          <w:iCs/>
          <w:sz w:val="16"/>
          <w:szCs w:val="16"/>
        </w:rPr>
        <w:t>Suspending official</w:t>
      </w:r>
      <w:r>
        <w:rPr>
          <w:rFonts w:ascii="Times New Roman" w:hAnsi="Times New Roman" w:cs="Times New Roman"/>
          <w:sz w:val="16"/>
          <w:szCs w:val="16"/>
        </w:rPr>
        <w:t xml:space="preserve">, 43 CFR 12.400, 43 CFR 12.405, and 43 CFR 12.410(a).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(j)  The authority for this action is 43 CFR 12.100 </w:t>
      </w:r>
      <w:r>
        <w:rPr>
          <w:rFonts w:ascii="Times New Roman" w:hAnsi="Times New Roman" w:cs="Times New Roman"/>
          <w:i/>
          <w:iCs/>
          <w:sz w:val="16"/>
          <w:szCs w:val="16"/>
        </w:rPr>
        <w:t>Debarring official</w:t>
      </w:r>
      <w:r>
        <w:rPr>
          <w:rFonts w:ascii="Times New Roman" w:hAnsi="Times New Roman" w:cs="Times New Roman"/>
          <w:sz w:val="16"/>
          <w:szCs w:val="16"/>
        </w:rPr>
        <w:t xml:space="preserve">, 43 CFR 12,305(a), and 43 CFR 12.311.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M-3.  What criteria will the USFWS use to determine a remedy for a failure to comply with the terms of an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Federal regulations provide specific criteria for debarment and suspension. and the criteria for imposing special requirements in the award are listed above.  For selecting other remedies, the grant officer will use the following general criteria: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(a) </w:t>
      </w:r>
      <w:r>
        <w:rPr>
          <w:rFonts w:ascii="Times New Roman" w:hAnsi="Times New Roman" w:cs="Times New Roman"/>
          <w:sz w:val="20"/>
          <w:szCs w:val="20"/>
        </w:rPr>
        <w:tab/>
        <w:t xml:space="preserve">whether the failure to comply was willful;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(b) </w:t>
      </w:r>
      <w:r>
        <w:rPr>
          <w:rFonts w:ascii="Times New Roman" w:hAnsi="Times New Roman" w:cs="Times New Roman"/>
          <w:sz w:val="20"/>
          <w:szCs w:val="20"/>
        </w:rPr>
        <w:tab/>
        <w:t>the impact on natural resources;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the impact on the NAWCA project and associated federally assisted projects;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(d) </w:t>
      </w:r>
      <w:r>
        <w:rPr>
          <w:rFonts w:ascii="Times New Roman" w:hAnsi="Times New Roman" w:cs="Times New Roman"/>
          <w:sz w:val="20"/>
          <w:szCs w:val="20"/>
        </w:rPr>
        <w:tab/>
        <w:t>the impact on partners;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 xml:space="preserve">(e) </w:t>
      </w:r>
      <w:r>
        <w:rPr>
          <w:rFonts w:ascii="Times New Roman" w:hAnsi="Times New Roman" w:cs="Times New Roman"/>
          <w:sz w:val="20"/>
          <w:szCs w:val="20"/>
        </w:rPr>
        <w:tab/>
        <w:t>the impact on the buyers and sellers of real property that is part of, or affected by,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(e) </w:t>
      </w:r>
      <w:r>
        <w:rPr>
          <w:rFonts w:ascii="Times New Roman" w:hAnsi="Times New Roman" w:cs="Times New Roman"/>
          <w:sz w:val="20"/>
          <w:szCs w:val="20"/>
        </w:rPr>
        <w:tab/>
        <w:t>the need for immediate action to protect the public’s interest;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(f) </w:t>
      </w:r>
      <w:r>
        <w:rPr>
          <w:rFonts w:ascii="Times New Roman" w:hAnsi="Times New Roman" w:cs="Times New Roman"/>
          <w:sz w:val="20"/>
          <w:szCs w:val="20"/>
        </w:rPr>
        <w:tab/>
        <w:t>whether there are mitigating factors.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staff of the NAWCA Grants Program developed the above criteria.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M-4.   How will the USFWS determine when willfulness is a factor in a recipient’s failure to comply?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grant officer will determine that willfulness was a factor in a recipient’s decision if: (a) the recipient had knowledge beforehand that the action or inaction would fail to comply with the terms or conditions of an award; or (b) the recipient could have determined from the grant or cooperative agreement and this policy whether the action or inaction was not compliant with the terms and conditions of the award or ©) the recipient acted in reckless disregard as to whether the action or inaction was in compliance with the terms and conditions of the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b/>
          <w:bCs/>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criteria for willfulness was adapted to the NAWCA Grants Program from the 1999 Cumulative Annual Pocket Part Title 31U.S.C., Money and Finance, immediately before §1350, Notes of Decisions, 4. Willfulness.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M-5.   What are the grounds for debarment and suspension?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causes for debarment and suspension are: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conviction of or civil judgment for: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(1) commission of fraud or a criminal offense in connection with obtaining, attempting to obtain, or performing a public or private agreement or transaction;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b/>
          <w:bCs/>
          <w:sz w:val="20"/>
          <w:szCs w:val="20"/>
        </w:rPr>
      </w:pPr>
      <w:r>
        <w:rPr>
          <w:rFonts w:ascii="Times New Roman" w:hAnsi="Times New Roman" w:cs="Times New Roman"/>
          <w:sz w:val="20"/>
          <w:szCs w:val="20"/>
        </w:rPr>
        <w:t>(2) violation of Federal or State antitrust statutes, including those proscribing price fixing between competitors, allocation of customers between competitors, and bid rigging;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(3) commission of embezzlement, theft, forgery, bribery, falsification or destruction of records, making false statements, receiving stolen property, making false claims, or obstruction of justice;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(4) commission of any other offense indicating a lack of business integrity or business honesty that seriously and directly affects the present responsibility of a person.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0" w:hanging="10530"/>
        <w:rPr>
          <w:rFonts w:ascii="Times New Roman" w:hAnsi="Times New Roman" w:cs="Times New Roman"/>
          <w:sz w:val="20"/>
          <w:szCs w:val="20"/>
        </w:rPr>
      </w:pPr>
      <w:r>
        <w:rPr>
          <w:rFonts w:ascii="Times New Roman" w:hAnsi="Times New Roman" w:cs="Times New Roman"/>
          <w:sz w:val="20"/>
          <w:szCs w:val="20"/>
        </w:rPr>
        <w:lastRenderedPageBreak/>
        <w:t xml:space="preserve">(b) violation of the terms of a public agreement or transaction so serious as to affect the integrity of an agency program, such as </w:t>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b/>
          <w:bCs/>
          <w:sz w:val="20"/>
          <w:szCs w:val="20"/>
        </w:rPr>
      </w:pPr>
      <w:r>
        <w:rPr>
          <w:rFonts w:ascii="Times New Roman" w:hAnsi="Times New Roman" w:cs="Times New Roman"/>
          <w:sz w:val="20"/>
          <w:szCs w:val="20"/>
        </w:rPr>
        <w:t>(1) a willful failure to perform in accordance with the terms of one or more public agreements or transactions;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(2) a history of failure to perform or of unsatisfactory performance of one or more public agreements or transactions;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(3) a willful violation of a statutory or regulatory provision or requirement applicable to a public agreement or transaction.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any of the following causes: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(1) a nonprocurement debarment by any Federal agency taken before October 1, 1988, or a procurement debarment by any Federal agency taken pursuant to 48 CFR subpart 9.4;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(2) knowingly doing business with a debarred, suspended, ineligible, or voluntarily excluded person, in connection with a covered transaction, except as permitted in 43 CFR 12.215 or 43 CFR 12.220;</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(3) Failure to pay a single substantial debt, or a number of outstanding debts (including disallowed costs and overpayments, but not including sums owed the Federal Government under the Internal Revenue Code) owed to any Federal agency or instrumentality, provided the debt is uncontested by the debtor, or if contested, provided that the debtor’s legal and administrative remedies have been exhausted;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(4) violation of a material provision of a voluntary exclusion agreement entered into under 43 CFR 12.315 or of any settlement of a debarment or suspension action;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lastRenderedPageBreak/>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(5) violation of any requirements of the drug-free workplace requirements for grants, relating to providing a drug-free workplace, as set forth in 43 CFR 12.615.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(d) any other cause of so serious or compelling a nature that it affects the present responsibility of a person.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43 CFR 12.305 states the grounds for debarment and suspension.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M-6.  What happens if I do not submit a Financial Status Report or a performance report by the due date?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a recipient foresees that it cannot submit a Performance Report, Financial Status Report (Long Form) (SF 269), or any successor form by the original due date, the recipient may request an extension in writing and include the requested extended due date and a justification for the extension.  The grant officer must receive the request for extension before the report’s original due date.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Delinquent Intermediate Reports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the grant officer does not receive the Performance Report, Financial Status Report (Long Form) (SF 269) or any successor forms by the due date identified in the grant or an extended due date requested by the recipient and approved by the grant officer, the grant officer will: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18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(a) Notify the recipient that the due date has passed and that the required report has not been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18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(b) Notify the recipient that the USFWS will withhold any cash payments pending receipt of the required report.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Inform the recipient that failure to submit reports in a timely manner renders them noncompliant and may result in the imposition of sanctions including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(1) denying both use of funds and matching credit for all or part of the cost of the activity or action not in 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(2) whole or partial suspension or termination of the current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(3) withholding of further awards for the program until the required reports are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720"/>
        <w:rPr>
          <w:rFonts w:ascii="Times New Roman" w:hAnsi="Times New Roman" w:cs="Times New Roman"/>
          <w:sz w:val="20"/>
          <w:szCs w:val="20"/>
        </w:rPr>
      </w:pPr>
      <w:r>
        <w:rPr>
          <w:rFonts w:ascii="Times New Roman" w:hAnsi="Times New Roman" w:cs="Times New Roman"/>
          <w:sz w:val="20"/>
          <w:szCs w:val="20"/>
        </w:rPr>
        <w:t>(4) other legal remedies.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rPr>
        <w:t>(d) Request receipt of the report by the close of business of the following work day;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18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(e) If it is not possible to receive the overdue report by the close of business of the following workday, negotiate a proposed extension date within the next 30 calendar days.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For all delinquent reports which receive an extension of the due date, the grant officer must (a) notify the recipient by letter, fax, or e-mail that an extended due date has been approved; and (b) repeat the sanctions listed above.  For all delinquent reports except the final, if the grant officer does not receive the delinquent report by: (a) the close of the business day after the grant officer’s notification to the recipient that a report is overdue; or (b) by an agreed-upon extension date which must be within 30 calendar days after the grant officer’s notification to the recipient that a report is overdue, the grant officer will send a written warning to the recipient via return-receipt-requested mail or a delivery service that will obtain a signed receipt confirming delivery to the recipient.  The warning will state that the grant recipient is not compliant with the terms of the award on reporting and that, unless the grant officer receives the required report(s) within the next 10 calendar days, USFWS will make no further payments on the grant and will suspend the award until the delinquent report(s) is(are) received.  If the grants officer does not receive the report or an acceptable explanation is not received by the end of 30 calendar days of implementation of the suspension, the grant officer will convert the suspension to a termination, and the grant program will withhold further awards until all delinquent reports have been received.  The grant officer may waive termination of the award if he or she determines in writing that it is in the Federal government’s best interest.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No commitment of funds incurred by the recipient during the period of suspension or after termination of an award will be allowable, unless the grant officer, at his or her discretion, expressly authorizes them in the notice of suspension or termination or subsequently.  Other recipient costs during suspension or after termination which are necessary and not reasonably avoidable are allowable if: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(1) the costs result from obligations which are properly incurred by the recipient before the effective date of suspension or termination, are not in anticipation of it, and in the case of a termination, are noncancellable;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(2) the costs would be allowable if the award were not suspended or expired normally at the end of the funding period in which the termination takes effect.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Delinquent Final Reports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a delinquent final report is not received by (a) the close of the business day after the grant officer’s notification to the recipient that a report is overdue, or (b) by an agreed-upon extension date which must be within 30 calendar days after the grant officer’s notification to the recipient that a report is overdue, the grant officer will send a written notice to the recipient via return-receipt-requested mail or a delivery service that will obtain a signed receipt confirming delivery to the recipient.  The warning will state that the grant recipient is not compliant with the terms of the award on reporting and that the grant officer will withhold further awards to the recipient until all reporting requirements have been met.  If the grant officer receives all delinquent reports and associated requirements and if they meet specifications in regulations and policy, the grant officer will cease withholding further awards to the 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lastRenderedPageBreak/>
        <w:t>Relationship to a Suspension Preliminary to Debarment</w:t>
      </w:r>
      <w:r>
        <w:rPr>
          <w:rFonts w:ascii="Times New Roman" w:hAnsi="Times New Roman" w:cs="Times New Roman"/>
          <w:sz w:val="20"/>
          <w:szCs w:val="20"/>
        </w:rPr>
        <w:t xml:space="preserve"> </w:t>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enforcement remedies identified in this section, including suspension preliminary to termination are based on different legal authorities and regulations than a suspension preliminary to debarment.  However, the implementation of a suspension and/or termination does not preclude a recipient from being subject to debarment and suspension under Executive Orders 12549 and 12689 as implemented in 43 CFR, part 12, subpart 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above provisions under </w:t>
      </w:r>
      <w:r>
        <w:rPr>
          <w:rFonts w:ascii="Times New Roman" w:hAnsi="Times New Roman" w:cs="Times New Roman"/>
          <w:sz w:val="16"/>
          <w:szCs w:val="16"/>
          <w:u w:val="single"/>
        </w:rPr>
        <w:t>Delinquent Intermediate Reports</w:t>
      </w:r>
      <w:r>
        <w:rPr>
          <w:rFonts w:ascii="Times New Roman" w:hAnsi="Times New Roman" w:cs="Times New Roman"/>
          <w:sz w:val="16"/>
          <w:szCs w:val="16"/>
        </w:rPr>
        <w:t xml:space="preserve"> and </w:t>
      </w:r>
      <w:r>
        <w:rPr>
          <w:rFonts w:ascii="Times New Roman" w:hAnsi="Times New Roman" w:cs="Times New Roman"/>
          <w:sz w:val="16"/>
          <w:szCs w:val="16"/>
          <w:u w:val="single"/>
        </w:rPr>
        <w:t>Delinquent Final Reports</w:t>
      </w:r>
      <w:r>
        <w:rPr>
          <w:rFonts w:ascii="Times New Roman" w:hAnsi="Times New Roman" w:cs="Times New Roman"/>
          <w:sz w:val="16"/>
          <w:szCs w:val="16"/>
        </w:rPr>
        <w:t xml:space="preserve"> are based on 43 CFR, sections 12.83 (a)(c)&amp;(d), and 43 CFR, sections 12962(a)(c)&amp;(d) the “United States Department of the Interior Policy Regarding Financial Status Reporting Requirements Related to Grants”.  This policy was attached to the Department of the Interior’s  Deputy Assistant Secretary Nina Rose Hatfield memorandum to the Solicitor, Inspector General, Assistant Secretaries, and Bureau and Office Heads dated June 27, 2003.   Deputy Assistant Secretary Hatfield’s policy is applicable to (a) construction and nonconstruction projects for which States, Tribes, and local governments are recipients, and (b) nonconstruction projects for which institutions of higher education, hospitals, and other nonprofit organizations are recipients.  Therefore, it would be applicable to few, if any, of the NAWCA projects awarded to institutions of higher education, hospitals, and other nonprofit organizations because the great majority are construction projects.  They are construction projects because they involve: (a) the acquisition of land, which is defined as construction in “Grants and Cooperative Agreements with State and Local Governments”, OMB Circular A-102, section 1.c.(3); (b) the construction of water control structures, dikes, terraces, and rice field levees; ©) the plugging of ditches or the destruction of tile drainage systems; (d) the planting of trees or grass; or (e) another soil-disturbing practice.  (See definition of “construction” in this Policy.)  Despite the non-applicability of Deputy Assistant Secretary Hatfield’s policy, this Policy applies it to all annual and final financial status and performance reports with the additional provision that no payments will be made if a report is overdue.  In this respect it, it is stricter that the Hatfield policy dated June 27, 2003.  A stricter approach is based in part on the provisions of 43 CFR12.61(g)(1) which states: “unless otherwise required by Federal statute, awarding agencies shall not withhold payments for proper charges incurred by grantees or subgrantees unless–(i) The grantee or subgrantee has failed to comply with grant award conditions . . .”.  A stricter approach is also based on 43 CFR 12.922(h): “Unless otherwise required by statute, Federal awarding agencies shall not withhold payments for proper charges made by recipients at any time during the project period unless paragraph (h)(1) or (h)(2) of this section apply: (1) A recipient has failed to comply with the project objectives, the terms and conditions of the award, or Federal reporting requirements . .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above provisions under </w:t>
      </w:r>
      <w:r>
        <w:rPr>
          <w:rFonts w:ascii="Times New Roman" w:hAnsi="Times New Roman" w:cs="Times New Roman"/>
          <w:sz w:val="16"/>
          <w:szCs w:val="16"/>
          <w:u w:val="single"/>
        </w:rPr>
        <w:t>Relationship to a Suspension Preliminary to Debarment</w:t>
      </w:r>
      <w:r>
        <w:rPr>
          <w:rFonts w:ascii="Times New Roman" w:hAnsi="Times New Roman" w:cs="Times New Roman"/>
          <w:sz w:val="16"/>
          <w:szCs w:val="16"/>
        </w:rPr>
        <w:t xml:space="preserve"> are taken from 43 CFR 12.83(d) and 43 CFR 12.962(d).</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M-7.   What happens if I do not accomplish all the wetland acres in my response to Technical Assessment Question 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If the recipient at the end of the funding period has not acquired, restored, enhanced, or created at least the number of wetland acres that were committed in the response to Technical Assessment Question 4, the recipient may be placed on a list of recipients that did not fulfill the commitments of a NAWCA project.  (The threshold of material failure is explained in the response to the question following this one.)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list of recipients that did not fulfill the commitments of a NAWCA project will be made available to the staff and members of the North American Wetlands Conservation Council.  Once on the list, a recipient will remain on the list for at least one complete application cycle, i.e., from the due date for proposals until the MBCC funds the first of these proposals.  The recipient will be removed from this list as soon as the corrective actions specified by the grant officer are completed or until at least one complete application cycle is completed whichever comes later.  An application cycle begins on the due date for the USFWS’s receipt of proposals and ends with the MBCC’s funding of proposals submitted by that due date.  In some cases a corrective action may not be possible, in which case the recipient will remain on the list for at least one complete application cycle and at most six complete application cycles (approximately three years) depending on the following criteria: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whether the shortfall of acres is a material failure to accomplish the wetland acreage objectives in the response to Technical Assessment Question 4;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whether the recipient notified the grant officer at the first indication that the acreage objectives would not be met.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The authority for this is found in 43 CFR 12.83(a)(4)&amp;(5), which is applicable to States, Tribes, and local governments, and 43 CFR 12.962(a)(4)&amp;(5), which is applicable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M-8.   What constitutes a material failure to accomplish the wetland acres in my response to Technical Assessment Question 4?</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It is a material failure to accomplish the wetland acres committed in the response to Technical Assessment Question 4 if the recipient accomplishes less than 75% of the wetland acres.  The grant officer, at his or her discretion and in the interest of a more equitable outcome, may assign weights to acres representing a mix of different estates or different lengths of the recipient’s commitment to protect or maintain a wetland restoration/enhancement/creation.  The 75% threshold constitutes only the minimum level of accomplishment that would constitute material failure.  The grant officer will use the following criteria in deciding whether a level of accomplishment above 75 percent would constitute a material failure: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(a) Could the recipient have foreseen the difficulties in accomplishing the proposed acres at the time the proposal was submitted or at least by the time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(b) Were alternatives available that could have lead to full accomplishment on acres other than what was originally proposed (with the grant officer’s approval)?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 What are the consequences for the project of accomplishing the reduced number of acres?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lastRenderedPageBreak/>
        <w:t>(d) Did the project officer contact the grant officer as soon as the project officer knew, or should have known, that the acreage  commitment in Technical Assessment Question 4 could not be achieved?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An example of how the grant officer may assign weights to acres of different estate categories or commitment periods is as follows.  If the acquisition, restoration, enhancement, or wetland creation occurs on a lease with a term less than 25 years, the grant officer may assign a weighting factor to each acre represented by a decimal equal to the fraction of 25 years that the term of the lease represents.  (25 years is the standard period of time that USFWS may monitor habitat that is restored, enhanced, or created under a NAWCA grant.)  Thus an acre under a 15-year lease will be assigned a weight of 0.6 (15 years </w:t>
      </w:r>
      <w:r>
        <w:rPr>
          <w:rFonts w:ascii="Times New Roman" w:hAnsi="Times New Roman" w:cs="Times New Roman"/>
          <w:sz w:val="20"/>
          <w:szCs w:val="20"/>
        </w:rPr>
        <w:sym w:font="Symbol" w:char="F0B8"/>
      </w:r>
      <w:r>
        <w:rPr>
          <w:rFonts w:ascii="Times New Roman" w:hAnsi="Times New Roman" w:cs="Times New Roman"/>
          <w:sz w:val="20"/>
          <w:szCs w:val="20"/>
        </w:rPr>
        <w:t xml:space="preserve"> 25 years = 0.6).  If an acre has been restored, enhanced, or created on fee simple, a perpetual easement, or a 99-year lease </w:t>
      </w:r>
      <w:r>
        <w:rPr>
          <w:rFonts w:ascii="Times New Roman" w:hAnsi="Times New Roman" w:cs="Times New Roman"/>
          <w:sz w:val="20"/>
          <w:szCs w:val="20"/>
          <w:u w:val="single"/>
        </w:rPr>
        <w:t>and</w:t>
      </w:r>
      <w:r>
        <w:rPr>
          <w:rFonts w:ascii="Times New Roman" w:hAnsi="Times New Roman" w:cs="Times New Roman"/>
          <w:sz w:val="20"/>
          <w:szCs w:val="20"/>
        </w:rPr>
        <w:t xml:space="preserve"> the recipient has committed to maintain the restoration, enhancement, or creation for at least that period of time, the acre will be assigned a 4.0 weighting factor, which will be the highest weighting factor used.  In the context of this example, all acquisitions of fee simple, perpetual easements, and greater-than-87.5-year leases and easements would be assigned a weight of 4.  Whatever weighting factor scheme is used, acquisitions of fee simple and leases or easements with terms longer than 87.5-years will be four times the weight assigned to a standard 25-year commitment for restoration/enhancement/wetland creation.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staff of the NAWCA Grants Program developed the above criteria.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rationale for 4.0 being the highest weighting factor used is that early State court decisions have held that leases of 100 years or more are tantamount to the conveyance of fee simple title. (The Language of Real Estate by John W. Reilly, published in 1993 by Real Estate Education Company/Chicago, a Division of Dearborn Financial Publishing, Inc., p.252)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number of years halfway between 75 years (which would have a weighting factor of three) and 100 years (which would have a weighting factor of four) is 87.5.  Thus, for any period of time longer than 87.5 years, the weighting factor rounds up from three to four</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M-9.   What happens if I do not accomplish all the acres in my response to Technical 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the recipient, at the end of the funding period, has not acquired, restored, enhanced, or created at least the number of acres in these activities as proposed in the response to Technical Assessment Question 5 in the project proposal, the grant officer may reduce the Federal grant dollars awarded in proportion to the shortfall in acres.  The criteria and formulas used in calculating such a reduction is explained in subsequent sections of the Policy.  The grant officer will also reduce the required match in proportion to the reduction in the Federal grant dollars awarded.  Finally, the recipient may be placed on a list of recipients that did not fulfill the commitments of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authority for a downward adjustment in the Federal share of allowable costs is at 43 CFR 12.90©) and 43 CFR 12.971(e).  In addition, 43 CFR 12.70(d), 43 CFR 12.925©)(1), and 43 CFR 12..925(h)(1), taken together,  require all categories of grant recipients to obtain prior approval for changes in the scope or the objectives of the project.  If the acres accomplished are less than the proposal’s objectives, as represented in the answers to Technical Assessment Questions 4 and 5, and the project officer did not obtain the grant officer’s prior approval, then the change was unallowable.  The consequence will be a downward adjustment in the Federal share of costs.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OMB Circular A-102, Grants and Cooperative Agreements with State and Local Governments, Attachment, section 1.e.(2), states in part “Whenever an agency adjusts the amount of an award, it shall also make an appropriate adjustment to the amount of any required matching or cost sharing.”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M-10.   What guidelines will the USFWS use to decide if the grant will  be reduced if acreage objectives are not accomplished?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The grant officer will use the following guidelines to determine whether a grant will be reduced if the recipient has not acquired, restored, enhanced, or created at least the number of acres in the acreage and activity categories in the response to Technical Assessment Question 5 in the proposal:</w:t>
      </w:r>
    </w:p>
    <w:p w:rsidR="001F0636" w:rsidRDefault="001F0636">
      <w:pPr>
        <w:pStyle w:val="Level3"/>
        <w:numPr>
          <w:ilvl w:val="2"/>
          <w:numId w:val="34"/>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The grant officer will reduce any grant with a shortfall exceeding 25 percent of (i) the acres to be acquired and/or (ii) 25 percent of the total acres to be restored, enhanced, and created as wetlands in the response to Technical Assessment Question 5 as long as the original acreage commitment in the category to be reduced [i.e., (i) acquisition or (ii) restoration, enhancement, or wetland creation taken as a whole] constituted at least 25 percent of the total acres committed in all of the response categories under Technical Assessment Question 5.</w:t>
      </w:r>
    </w:p>
    <w:p w:rsidR="001F0636" w:rsidRDefault="001F0636">
      <w:pPr>
        <w:pStyle w:val="Level3"/>
        <w:numPr>
          <w:ilvl w:val="2"/>
          <w:numId w:val="35"/>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 xml:space="preserve">Some projects have wide disparities in the costs and/or length of the conservation benefits associated with the various categories of acres accomplished.  In such cases, the grant officer, in the interest of a more equitable outcome, may, at his or her discretion, assign weighting factors based on (i) actual costs per acre, and/or (ii) proposed average costs per acre if actual costs are not yet known, or (iii) length of conservation benefits, to each category of acres.  The grant officer will </w:t>
      </w:r>
      <w:r>
        <w:rPr>
          <w:sz w:val="20"/>
          <w:szCs w:val="20"/>
        </w:rPr>
        <w:lastRenderedPageBreak/>
        <w:t xml:space="preserve">select the weighting factors at his or her discretion based on what is most conducive to an equitable outcome.  Examples of how weighting factors may be assigned are provided in the answers to other questions addressed in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80"/>
        <w:rPr>
          <w:sz w:val="20"/>
          <w:szCs w:val="20"/>
        </w:rPr>
      </w:pPr>
      <w:r>
        <w:rPr>
          <w:sz w:val="20"/>
          <w:szCs w:val="20"/>
        </w:rPr>
        <w:t>©)   The grant officer will reduce any indirect costs as appropriate for specific reductions in the direct cost base.</w:t>
      </w:r>
    </w:p>
    <w:p w:rsidR="001F0636" w:rsidRDefault="001F0636">
      <w:pPr>
        <w:pStyle w:val="Level3"/>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The grant officer will reduce any administrative costs or overhead costs included in “Other Direct Costs” in proportion to any reduction of direct costs.  Unless the proposal excludes items from the direct cost base of the administrative costs or overhead, the direct cost base of directly charged administrative costs or overhead will be all of the federally funded direct costs plus any matching in-kind contributions provided by the recipient, matching cash spent by the recipient, and donated labor supervised by the recipient.</w:t>
      </w:r>
    </w:p>
    <w:p w:rsidR="001F0636" w:rsidRDefault="001F0636">
      <w:pPr>
        <w:pStyle w:val="Level1"/>
        <w:numPr>
          <w:ilvl w:val="0"/>
          <w:numId w:val="37"/>
        </w:numPr>
        <w:tabs>
          <w:tab w:val="left" w:pos="-480"/>
          <w:tab w:val="left" w:pos="0"/>
          <w:tab w:val="left" w:pos="90"/>
          <w:tab w:val="left" w:pos="180"/>
          <w:tab w:val="num" w:pos="270"/>
          <w:tab w:val="left" w:pos="360"/>
          <w:tab w:val="left" w:pos="540"/>
          <w:tab w:val="left" w:pos="720"/>
          <w:tab w:val="left" w:pos="900"/>
          <w:tab w:val="left" w:pos="1080"/>
        </w:tabs>
        <w:ind w:left="270" w:hanging="90"/>
        <w:rPr>
          <w:sz w:val="20"/>
          <w:szCs w:val="20"/>
        </w:rPr>
      </w:pPr>
      <w:r>
        <w:rPr>
          <w:sz w:val="20"/>
          <w:szCs w:val="20"/>
        </w:rPr>
        <w:t xml:space="preserve">The recipient must contact the grant officer immediately when there is any indication that the acreage accomplished may fall short of </w:t>
      </w:r>
      <w:r>
        <w:rPr>
          <w:sz w:val="20"/>
          <w:szCs w:val="20"/>
          <w:u w:val="single"/>
        </w:rPr>
        <w:t>any</w:t>
      </w:r>
      <w:r>
        <w:rPr>
          <w:sz w:val="20"/>
          <w:szCs w:val="20"/>
        </w:rPr>
        <w:t xml:space="preserve"> acreage figure in the response to Technical Assessment Question 5.  The grant officer will decide at that time if it is in the interest of the Federal government to: (i) terminate the award in whole or in part; (ii) allow it to continue with reduced acreage objectives in the recipient’s tabular response to Technical Assessment Question 5; or (iii) reduce Federal grant funds in proportion to the acreage shortfall.  If the recipient fails to contact the grant officer immediately when there is any indication that the acreage accomplishments may fall short of any acreage figure in the recipient’s response to Technical Assessment Question 5 in the proposal, the Federal grant funds will be reduced in proportion to the acreage shortfall regardless of the magnitude of the shortfall.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authority for a downward adjustment in the Federal share of allowable costs is at 43 CFR 12.90©) and 43 CFR 12.971(e).  In addition, 43 CFR 12.70(d), 43 CFR 12.925©)(1), and 43 CFR 12..925(h)(1), taken together,  require all categories of grant recipients to obtain prior approval for changes in the scope or the objectives of the project .  If the acres accomplished are less than the proposal’s objectives, and the project officer did not obtain the grant officer’s prior approval, then the change was unallowable.  The consequence will be a downward adjustment in the Federal share of costs.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staff of the NAWCA Grants Program developed the percentage thresholds and the related process for reducing the Federal grant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M-11.   How will the USFWS reduce a grant if personnel and contract costs cannot be accurately allocated between acquisition acres and acres to be restored, enhanced, and/or created as wetlands?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a recipient does not accomplish the acreage objectives in a project that includes (a) acquisition and (b) restoration, enhancement, and/or wetland creation and if personnel or contract costs cannot be accurately allocated between categories (a) and (b) for purposes of calculating a reduction in the award, the recipient may be asked to allocate the costs using the best available information.  If the recipient is unwilling or unable to allocate the costs in the requested time frame or if the grant officer does not agree with the allocation, the grant officer will allocate the costs between acquisition and restoration/enhancement/wetland creation by any method that he or she deems reasonable under the circumstances.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staff of the NAWCA Grants Program developed the guidelines for reducing the Federal grant award for a shortfall of acres in a project including both acquisition and restoration/enhancement/wetland creation if personnel or contract costs cannot be accurately apportioned among the acreage categories.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M-12.   If the Federal grant award is reduced, will the match requirement be reduced?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the Federal grant award is reduced, the grant officer will reduce the required match in proportion to the reduction in Federal grant dollars.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OMB Circular A-102, Grants and Cooperative Agreements with State and Local Governments, Attachment, section 1.e.(2), states in part “Whenever an agency adjusts the amount of an award, it shall also make an appropriate adjustment to the amount of any required matching or cost sharing.”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M-13.   How can the USFWS terminate the grant if the Migratory Bird Conservation Commission awarded it to the 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sectPr w:rsidR="001F0636">
          <w:type w:val="continuous"/>
          <w:pgSz w:w="12240" w:h="15840"/>
          <w:pgMar w:top="540" w:right="45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b/>
          <w:bCs/>
          <w:sz w:val="20"/>
          <w:szCs w:val="20"/>
        </w:rPr>
      </w:pPr>
      <w:r>
        <w:rPr>
          <w:rFonts w:ascii="Times New Roman" w:hAnsi="Times New Roman" w:cs="Times New Roman"/>
          <w:sz w:val="20"/>
          <w:szCs w:val="20"/>
        </w:rPr>
        <w:lastRenderedPageBreak/>
        <w:t xml:space="preserve">The Migratory Bird Conservation Commission </w:t>
      </w:r>
      <w:r>
        <w:rPr>
          <w:rFonts w:ascii="Times New Roman" w:hAnsi="Times New Roman" w:cs="Times New Roman"/>
          <w:sz w:val="20"/>
          <w:szCs w:val="20"/>
          <w:u w:val="single"/>
        </w:rPr>
        <w:t>approves funding</w:t>
      </w:r>
      <w:r>
        <w:rPr>
          <w:rFonts w:ascii="Times New Roman" w:hAnsi="Times New Roman" w:cs="Times New Roman"/>
          <w:sz w:val="20"/>
          <w:szCs w:val="20"/>
        </w:rPr>
        <w:t xml:space="preserve"> for a grant, but the USFWS </w:t>
      </w:r>
      <w:r>
        <w:rPr>
          <w:rFonts w:ascii="Times New Roman" w:hAnsi="Times New Roman" w:cs="Times New Roman"/>
          <w:sz w:val="20"/>
          <w:szCs w:val="20"/>
          <w:u w:val="single"/>
        </w:rPr>
        <w:t>awards</w:t>
      </w:r>
      <w:r>
        <w:rPr>
          <w:rFonts w:ascii="Times New Roman" w:hAnsi="Times New Roman" w:cs="Times New Roman"/>
          <w:sz w:val="20"/>
          <w:szCs w:val="20"/>
        </w:rPr>
        <w:t xml:space="preserve"> the grant when it signs the grant agreement.  Federal regulations authorize the awarding agency to terminate an award in whole or in part if a recipient materially fails to comply with its terms and conditions.  The awarding agency may also terminate an award with the consent of the recipient, in which case the two parties must agree upon the termination conditions, including the effective date and, in the case of partial termination, the </w:t>
      </w:r>
      <w:r>
        <w:rPr>
          <w:rFonts w:ascii="Times New Roman" w:hAnsi="Times New Roman" w:cs="Times New Roman"/>
          <w:sz w:val="20"/>
          <w:szCs w:val="20"/>
        </w:rPr>
        <w:lastRenderedPageBreak/>
        <w:t>portion to be terminated.  The recipient may terminate the award upon sending the grant officer written notification setting forth the reasons for such termination, the effective date, and in the case of partial termination, the portion to be terminated.  However, if the grant officer determines in the case of partial termination that the reduced or modified portion of the grant will not accomplish the purposes for which the grant was made, he or she may terminate the grant in its entirety.  In any termination of an award, the grant officer must consider the recipient’s responsibilities for property management (if any) and for submitting the financial and performance reports and other documentation required by this document.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USFWS, as the awarding agency is authorized to terminate an award under conditions specified in 43 CFR 12..83, 43 CFR 12.84, 43  CFR 12.961, and 43 CFR 12.962.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M-14.   What if I do not receive all the matching cash committed or if the value of matching in-kind contributions is less than committed?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the total amount of match listed in the Agreement does not equal the sum of the amounts reported on the Final Performance Report, the Federal grant funds will be reduced by an equal proportion.  The recipient also may be placed on a list of recipients that did not fulfill the commitments of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authority for a downward adjustment in the Federal share of allowable costs is at 43 CFR 12.90©) and 43 CFR 12.971(e).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12.962 (a)(2), which is applicable to institutions of higher education, hospitals, and nonprofit organizations, states: “If a recipient materially fails to comply with the terms and conditions of an award, whether stated in a Federal statute, regulation, assurance, application, or notice of award, the Federal awarding agency may, in addition to imposing any of the special conditions outlined in §12.914, take one or more of the following actions, as appropriate in the circumstances. . . . Disallow (that is, deny both use of funds and any applicable matching credit for) all or part of the cost of the activity or action not in compliance.”  43 CFR 12.83 has a provision with almost the same wording for States, Tribes, and local governments.  If the recipient does not receive by the end of the funding period all the match that was committed in the proposal and incorporated by reference into the grant agreement, it has materially failed to comply with the terms and conditions of the award.  Thus the Federal grant funds will be disallowed in proportion to the reduction in match.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In addition, 43 CFR 12.70(d), 43 CFR 12.925©)(1), and 43 CFR 12..925(h)(1), taken together, require all categories of grant recipients to obtain prior approval for changes in the scope or the objectives of the project.  If less matching cash is received, it indicates a diminution of partnership.  Encouraging partnership is part of NAWCA’s statutory purpose and,  by extension, the partnership level is part of the purpose of the project.  Projects with higher match-to-grant ratios receive higher scores during project selection and a greater chance of being selected for funding.  Thus if the match received is less than the proposal’s matching commitment, and if the project officer did not obtain the grant officer’s prior approval for the reduction, then the reduced level of match was unallowable.  The consequence will be a downward adjustment in the Federal share of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authority for placing the recipient on a list of recipients that did not fulfill the commitments of the NAWCA project is at 43 CFR 12.83(a)(5), which is applicable to States, Tribes, and local governments, and 43 CFR 12.962(a)(5), which is applicable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M-15.   How will the USFWS reduce Federal funds for</w:t>
      </w:r>
      <w:r>
        <w:rPr>
          <w:rFonts w:ascii="Times New Roman" w:hAnsi="Times New Roman" w:cs="Times New Roman"/>
          <w:sz w:val="20"/>
          <w:szCs w:val="20"/>
        </w:rPr>
        <w:t xml:space="preserve"> </w:t>
      </w:r>
      <w:r>
        <w:rPr>
          <w:rFonts w:ascii="Times New Roman" w:hAnsi="Times New Roman" w:cs="Times New Roman"/>
          <w:b/>
          <w:bCs/>
          <w:sz w:val="20"/>
          <w:szCs w:val="20"/>
        </w:rPr>
        <w:t>a shortfall in match or in acres in the response to Technical 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grant officer will calculate a reduction in the grant in the manner explained below, if at the end of the funding period there is a shortfall, that has not been approved by the grant officer, in: (a) the total commitment of match; or (b) the acres to be acquired if such acres in are at least 25 percent of the total acres committed in the response to Technical Assessment Question 5 and/or the acres to be restored, enhanced, or created as wetlands if such acres are at least 25 percent of the total acres committed in the response to Technical 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calculations I. and II. below are both applicable, calculate I. for unapproved shortfalls in the acres to be acquired in the response to Technical Assessment Question 5 (if applicable), and separately for unapproved shortfalls in the acres to be restored, enhanced, and created-as-wetlands in the response to Technical Assessment Question 5 (if applicable).  </w:t>
      </w:r>
      <w:r>
        <w:rPr>
          <w:rFonts w:ascii="Times New Roman" w:hAnsi="Times New Roman" w:cs="Times New Roman"/>
          <w:i/>
          <w:iCs/>
          <w:sz w:val="20"/>
          <w:szCs w:val="20"/>
        </w:rPr>
        <w:t>The sum of the two calculations will be the total reduction for shortfalls in acreage.</w:t>
      </w:r>
      <w:r>
        <w:rPr>
          <w:rFonts w:ascii="Times New Roman" w:hAnsi="Times New Roman" w:cs="Times New Roman"/>
          <w:sz w:val="20"/>
          <w:szCs w:val="20"/>
        </w:rPr>
        <w:t xml:space="preserve">  Then reduce the amount of required match in proportion to the total reduction in Federal grant funds for shortfalls in acreage.  Finally, calculate II. based on the lower amount of required match that will result from the calculation(s) under I. </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90" w:firstLine="630"/>
        <w:rPr>
          <w:rFonts w:ascii="Times New Roman" w:hAnsi="Times New Roman" w:cs="Times New Roman"/>
          <w:sz w:val="20"/>
          <w:szCs w:val="20"/>
        </w:r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90" w:firstLine="630"/>
        <w:rPr>
          <w:rFonts w:ascii="Times New Roman" w:hAnsi="Times New Roman" w:cs="Times New Roman"/>
          <w:sz w:val="20"/>
          <w:szCs w:val="20"/>
        </w:rPr>
        <w:sectPr w:rsidR="001F0636">
          <w:type w:val="continuous"/>
          <w:pgSz w:w="12240" w:h="15840"/>
          <w:pgMar w:top="540" w:right="450" w:bottom="720" w:left="720" w:header="540" w:footer="720" w:gutter="0"/>
          <w:cols w:space="720"/>
          <w:noEndnote/>
        </w:sectPr>
      </w:pPr>
    </w:p>
    <w:p w:rsidR="001F0636" w:rsidRDefault="001F0636">
      <w:pPr>
        <w:pStyle w:val="Level1"/>
        <w:numPr>
          <w:ilvl w:val="0"/>
          <w:numId w:val="38"/>
        </w:numPr>
        <w:tabs>
          <w:tab w:val="left" w:pos="-480"/>
          <w:tab w:val="left" w:pos="0"/>
          <w:tab w:val="left" w:pos="90"/>
          <w:tab w:val="left" w:pos="180"/>
          <w:tab w:val="left" w:pos="270"/>
          <w:tab w:val="left" w:pos="360"/>
          <w:tab w:val="left" w:pos="540"/>
          <w:tab w:val="num" w:pos="720"/>
          <w:tab w:val="left" w:pos="900"/>
          <w:tab w:val="left" w:pos="1080"/>
        </w:tabs>
        <w:ind w:left="900" w:hanging="360"/>
        <w:rPr>
          <w:i/>
          <w:iCs/>
          <w:sz w:val="20"/>
          <w:szCs w:val="20"/>
        </w:rPr>
      </w:pPr>
      <w:r>
        <w:rPr>
          <w:i/>
          <w:iCs/>
          <w:sz w:val="20"/>
          <w:szCs w:val="20"/>
        </w:rPr>
        <w:lastRenderedPageBreak/>
        <w:t xml:space="preserve">Perform the following calculation if insufficient acres are acquired in the response to Technical Assessment Question 5.  Perform the calculation again if insufficient acres are restored, enhanced, and created-as-wetlands in the response to Technical Assessment Question 5.  The sum of the two calculations will be the total reduction of the amount awarded for shortfalls in acreage.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firstLine="720"/>
        <w:rPr>
          <w:rFonts w:ascii="Times New Roman" w:hAnsi="Times New Roman" w:cs="Times New Roman"/>
          <w:sz w:val="20"/>
          <w:szCs w:val="20"/>
        </w:rPr>
      </w:pPr>
      <w:r>
        <w:rPr>
          <w:rFonts w:ascii="Sakkal Majalla" w:hAnsi="Sakkal Majalla" w:cs="Sakkal Majalla"/>
          <w:b/>
          <w:bCs/>
          <w:sz w:val="20"/>
          <w:szCs w:val="20"/>
        </w:rPr>
        <w:t xml:space="preserve"> A  =  [B – (C/D x B)]  +  [E – (C/D x E)]  +  [F – (C/D x 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A =</w:t>
      </w:r>
      <w:r>
        <w:rPr>
          <w:rFonts w:ascii="Times New Roman" w:hAnsi="Times New Roman" w:cs="Times New Roman"/>
          <w:sz w:val="20"/>
          <w:szCs w:val="20"/>
        </w:rPr>
        <w:tab/>
        <w:t>amount that the award will be reduced for a shortfall in either acres to be acquired or acres to be restored, enhanced, and/or created-as-wetlands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B =</w:t>
      </w:r>
      <w:r>
        <w:rPr>
          <w:rFonts w:ascii="Times New Roman" w:hAnsi="Times New Roman" w:cs="Times New Roman"/>
          <w:sz w:val="20"/>
          <w:szCs w:val="20"/>
        </w:rPr>
        <w:tab/>
        <w:t xml:space="preserve">the final project proposal’s projected federally funded direct costs for the acres to be (a) acquired in the response to Technical Assessment Question 5 </w:t>
      </w:r>
      <w:r>
        <w:rPr>
          <w:rFonts w:ascii="Times New Roman" w:hAnsi="Times New Roman" w:cs="Times New Roman"/>
          <w:sz w:val="20"/>
          <w:szCs w:val="20"/>
          <w:u w:val="single"/>
        </w:rPr>
        <w:t>or</w:t>
      </w:r>
      <w:r>
        <w:rPr>
          <w:rFonts w:ascii="Times New Roman" w:hAnsi="Times New Roman" w:cs="Times New Roman"/>
          <w:sz w:val="20"/>
          <w:szCs w:val="20"/>
        </w:rPr>
        <w:t xml:space="preserve"> (b) restored, enhanced, created-as-wetlands, as appropriate, in the response to Technical 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C =</w:t>
      </w:r>
      <w:r>
        <w:rPr>
          <w:rFonts w:ascii="Times New Roman" w:hAnsi="Times New Roman" w:cs="Times New Roman"/>
          <w:sz w:val="20"/>
          <w:szCs w:val="20"/>
        </w:rPr>
        <w:tab/>
        <w:t>number of acres that are actually either (a) acquired or (b) restored, enhanced, and/or created-as-wetlands, as appropriate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D =</w:t>
      </w:r>
      <w:r>
        <w:rPr>
          <w:rFonts w:ascii="Times New Roman" w:hAnsi="Times New Roman" w:cs="Times New Roman"/>
          <w:sz w:val="20"/>
          <w:szCs w:val="20"/>
        </w:rPr>
        <w:tab/>
        <w:t>number of acres committed for acquisition, restoration, enhancement, and/or wetland creation in the project as awarded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E =</w:t>
      </w:r>
      <w:r>
        <w:rPr>
          <w:rFonts w:ascii="Times New Roman" w:hAnsi="Times New Roman" w:cs="Times New Roman"/>
          <w:sz w:val="20"/>
          <w:szCs w:val="20"/>
        </w:rPr>
        <w:tab/>
        <w:t>federally funded indirect costs as expended for direct-cost-base activities that are focused on acquiring, restoring,                    enhancing, and/or creating-as-wetlands a category(ies) of Acres by Tenure (years) of Benefits under Technical 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Times New Roman" w:hAnsi="Times New Roman" w:cs="Times New Roman"/>
          <w:sz w:val="20"/>
          <w:szCs w:val="20"/>
        </w:rPr>
        <w:t>F = federally funded direct costs as expended for items in the proposal budget category “Other Direct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440"/>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Sakkal Majalla" w:hAnsi="Sakkal Majalla" w:cs="Sakkal Majalla"/>
          <w:i/>
          <w:iCs/>
          <w:sz w:val="20"/>
          <w:szCs w:val="20"/>
        </w:rPr>
      </w:pPr>
      <w:r>
        <w:rPr>
          <w:rFonts w:ascii="Sakkal Majalla" w:hAnsi="Sakkal Majalla" w:cs="Sakkal Majalla"/>
          <w:sz w:val="20"/>
          <w:szCs w:val="20"/>
        </w:rPr>
        <w:t>II.</w:t>
      </w:r>
      <w:r>
        <w:rPr>
          <w:rFonts w:ascii="Sakkal Majalla" w:hAnsi="Sakkal Majalla" w:cs="Sakkal Majalla"/>
          <w:i/>
          <w:iCs/>
          <w:sz w:val="20"/>
          <w:szCs w:val="20"/>
        </w:rPr>
        <w:t xml:space="preserve">  </w:t>
      </w:r>
      <w:r>
        <w:rPr>
          <w:rFonts w:ascii="Sakkal Majalla" w:hAnsi="Sakkal Majalla" w:cs="Sakkal Majalla"/>
          <w:i/>
          <w:iCs/>
          <w:sz w:val="20"/>
          <w:szCs w:val="20"/>
        </w:rPr>
        <w:tab/>
        <w:t>Calculate only if insufficient match is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540"/>
        <w:rPr>
          <w:rFonts w:ascii="Sakkal Majalla" w:hAnsi="Sakkal Majalla" w:cs="Sakkal Majalla"/>
          <w:sz w:val="20"/>
          <w:szCs w:val="20"/>
        </w:rPr>
      </w:pPr>
      <w:r>
        <w:rPr>
          <w:rFonts w:ascii="Sakkal Majalla" w:hAnsi="Sakkal Majalla" w:cs="Sakkal Majalla"/>
          <w:b/>
          <w:bCs/>
          <w:sz w:val="20"/>
          <w:szCs w:val="20"/>
        </w:rPr>
        <w:t xml:space="preserve">      </w:t>
      </w:r>
      <w:r>
        <w:rPr>
          <w:rFonts w:ascii="Sakkal Majalla" w:hAnsi="Sakkal Majalla" w:cs="Sakkal Majalla"/>
          <w:b/>
          <w:bCs/>
          <w:sz w:val="20"/>
          <w:szCs w:val="20"/>
        </w:rPr>
        <w:tab/>
      </w:r>
      <w:r>
        <w:rPr>
          <w:rFonts w:ascii="Sakkal Majalla" w:hAnsi="Sakkal Majalla" w:cs="Sakkal Majalla"/>
          <w:b/>
          <w:bCs/>
          <w:sz w:val="20"/>
          <w:szCs w:val="20"/>
        </w:rPr>
        <w:tab/>
        <w:t xml:space="preserve">  A  =  B – [© + D / E + F) x B]  +  G – [© + D / E + F) x 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 xml:space="preserve">A = </w:t>
      </w:r>
      <w:r>
        <w:rPr>
          <w:rFonts w:ascii="Times New Roman" w:hAnsi="Times New Roman" w:cs="Times New Roman"/>
          <w:sz w:val="20"/>
          <w:szCs w:val="20"/>
        </w:rPr>
        <w:t>amount that the award will be reduced</w:t>
      </w:r>
      <w:r>
        <w:rPr>
          <w:rFonts w:ascii="Sakkal Majalla" w:hAnsi="Sakkal Majalla" w:cs="Sakkal Majalla"/>
          <w:sz w:val="20"/>
          <w:szCs w:val="20"/>
        </w:rPr>
        <w:t xml:space="preserve"> for insufficient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 xml:space="preserve">B = federally funded direct costs as expended and allowable after any reduction in I. above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C = matching cash actually expended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D = value of matching in-kind contributions actually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 xml:space="preserve">E = the final project proposal’s matching cash commitment as it may have been reduced from the calculation in I. above)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hanging="180"/>
        <w:rPr>
          <w:rFonts w:ascii="Sakkal Majalla" w:hAnsi="Sakkal Majalla" w:cs="Sakkal Majalla"/>
          <w:sz w:val="20"/>
          <w:szCs w:val="20"/>
        </w:rPr>
      </w:pPr>
      <w:r>
        <w:rPr>
          <w:rFonts w:ascii="Sakkal Majalla" w:hAnsi="Sakkal Majalla" w:cs="Sakkal Majalla"/>
          <w:sz w:val="20"/>
          <w:szCs w:val="20"/>
        </w:rPr>
        <w:t xml:space="preserve">F = value of the final project proposal’s commitment of matching in-kind contributions as it may have been reduced from the     calculation in I. above)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firstLine="180"/>
        <w:rPr>
          <w:rFonts w:ascii="Sakkal Majalla" w:hAnsi="Sakkal Majalla" w:cs="Sakkal Majalla"/>
          <w:sz w:val="20"/>
          <w:szCs w:val="20"/>
        </w:rPr>
      </w:pPr>
      <w:r>
        <w:rPr>
          <w:rFonts w:ascii="Sakkal Majalla" w:hAnsi="Sakkal Majalla" w:cs="Sakkal Majalla"/>
          <w:sz w:val="20"/>
          <w:szCs w:val="20"/>
        </w:rPr>
        <w:t>G = federally funded indirect costs as expended</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firstLine="108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staff of the NAWCA Grants Program developed the guidelines for reducing the Federal grant award for a shortfall of match or acres.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authority for a downward adjustment in the Federal share of allowable costs is at 43 CFR 12.90©) and 43 CFR 12.971(e).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12.962 (a)(2), which is applicable to institutions of higher education, hospitals, and nonprofit organizations, states: “If a recipient materially fails to comply with the terms and conditions of an award, whether stated in a Federal statute, regulation, assurance, application, or notice of award, the Federal awarding agency may, in addition to imposing any of the special conditions outlined in §12.914, take one or more of the following actions, as appropriate in the circumstances. . . . Disallow (that is, deny both use of funds and any applicable matching credit for) all or part of the cost of the activity or action not in compliance.”  43 CFR 12.83 has a provision with almost the same wording for states, Tribes, and local governments.  If the recipient does not receive by the end of the funding period all the match that was committed in the proposal and incorporated by reference into the grant agreement, it has materially failed to comply with the terms and conditions of the award.  Thus the Federal grant funds will be disallowed in proportion to the reduction in match.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In addition, 43 CFR 12.70(d), 43 CFR 12.925©)(1), and 43 CFR 12..925(h)(1), taken together, require all categories of grant recipients to obtain prior approval for changes in the scope or the objectives of the project.  If less matching cash is received, it indicates a diminution of partnership.  Encouraging partnership is part of NAWCA’s statutory purpose and,  by extension, the partnership level is part of the purpose of the project and its scope and objectives.  Projects with higher match-to-grant ratios receive higher scores during project selection and a greater chance of being selected for funding.  Thus if the match received is less than the proposal’s matching commitment, and if the project officer did not obtain the grant officer’s prior approval for the reduction, then the reduced level of match was unallowable.  The consequence will be a downward adjustment in the Federal share of costs.  Similarly, if the acres accomplished are less than the proposal’s objectives, and the project officer did not obtain the grant officer’s prior approval, then the change was unallowable.  The consequence will be a downward adjustment in the Federal share of costs.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OMB Circular A-102, Grants and Cooperative Agreements with State and Local Governments, Attachment, section 1.e.(2), states in part “Whenever an agency adjusts the amount of an award, it shall also make an appropriate adjustment to the amount of any required matching or cost sharing.”  There is no parallel requirement for institutions of higher education, hospitals, and other nonprofit organizations, but, since it would not be more restrictive on recipients, it would be a permissible and reasonable approach to apply to all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M-16.   If the USFWS  disallows a cost or reduces the grant after I have drawn down the Federal funds, how will the USFWS recover the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cost is disallowed or a grant is reduced after a recipient has drawn down or otherwise received the Federal funds, the grant officer may reduce the debt by one or more of the following claims collection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(a) making an administrative offset against requests for reimbursement;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(b) withholding advance payments otherwise due to the recipient; 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a written demand letter that informs the debtor of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 the basis for the indebtedness and the rights the debtor has to seek review within the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lastRenderedPageBreak/>
        <w:t>(ii) the standards for imposing any interest*, penalties, or administrative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72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(iii) the date by which payment should be made to avoid late charges (i.e., interest*, penalties, and administrative costs) and enforced collection, which generally should not be more than 30 days from the date that the demand letter is mailed or hand </w:t>
      </w:r>
      <w:r>
        <w:rPr>
          <w:rFonts w:ascii="Times New Roman" w:hAnsi="Times New Roman" w:cs="Times New Roman"/>
          <w:sz w:val="20"/>
          <w:szCs w:val="20"/>
        </w:rPr>
        <w:lastRenderedPageBreak/>
        <w:t xml:space="preserve">delivered;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(iv) the name, address, and phone number of a contact person or office within the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hanging="36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(d) other action permitted by law which include but are not limited to:</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 referral for litigation, which may precede the written demand letter if necessary to protect the Government’s interest, e.g., to prevent the running of a statute of limitations;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(ii) referral to Treasury-designated “debt collection centers”, which will be considered for debts less than 180 days delinquent, (iii) transfer to Treasury-designated “debt collection centers”, which is required for debts more than 180 days delinquent subject to certain exceptions at 31 CFR 901.1(e);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(iv) withhold further awards to the recipient;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 xml:space="preserve">(v) recommend that the recipient be suspended or debarred provided that the debt is substantial and uncontested by the debtor or, if contested, provided that debtor’s legal and administrative remedies have been exhausted.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180"/>
        <w:rPr>
          <w:rFonts w:ascii="Times New Roman" w:hAnsi="Times New Roman" w:cs="Times New Roman"/>
          <w:sz w:val="20"/>
          <w:szCs w:val="20"/>
        </w:rPr>
      </w:pPr>
      <w:r>
        <w:rPr>
          <w:rFonts w:ascii="Times New Roman" w:hAnsi="Times New Roman" w:cs="Times New Roman"/>
          <w:sz w:val="20"/>
          <w:szCs w:val="20"/>
        </w:rPr>
        <w:t xml:space="preserve">*  States subject to a Treasury-State agreement may or may not accrue an interest liability to the Federal government for a debt arising from a Federal assistance award depending on the situation and the terms of the agreement.  States not subject to a Treasury-State agreement do not accrue an interest liability to the Federal government for a debt arising from a Federal assistance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Recovery of debts due the Federal government as a result of federally assisted awards are addressed at: (a) 43 CFR 12.92 for States, federally recognized Tribes, and local governments; and (b) 43 CFR 12.973 for institutions of higher education, hospitals, and nonprofit organizations.  However, the “Federal Claims Collection Standards”, which 43 CFR 12.92 cites as being located at 4 CFR. Ch. II, are now at 31 CFR, part 901, under the title “Standards for the Administrative Collection of Claims”.  The above provisions on a demand letter and litigation was derived from 31 CFR 901.2.  The above provisions on a Treasury-designated debt-collection center are addressed at 31 CFR 901.1.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Interest liabilities for States subject to a Treasury State agreement are addressed at 31 CFR 205.13, 31 CFR 205.15, and 31 CFR 205.19.  Interest liabilities for States not subject to a Treasury-State agreement are addressed at 31 CFR 205.33(b).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withholding of further awards as one of the remedies for noncompliance is based on 43 CFR 12.83(a)(4) for States, federally recognized Tribes, and local governments, and 43 CFR 12.962(a)(4) for institutions of higher education, hospitals, and nonprofit organizations.  These provisions authorize withholding further awards “for the program” or “for the project or program” respectively.  The NAWCA Grants Program interprets “for the program” to mean all the recipient’s acquisition, restoration, enhancement, and wetland creation efforts within the NAWCA Grants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suspension and debarment option is based on 43 CFR 12.305 ©)(3), 43 CFR 12.400, and 43 CFR 12.405.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M-17.   When will interest on a debt start accruing?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Unless otherwise provided by law, interest on a debt will accrue from the date of delinquency, which will generally be 30 days from the date that the demand letter is mailed or hand delivered.  States subject to a Treasury-State agreement may or may not accrue an interest liability to the Federal government for a debt arising from a Federal assistance award depending on the situation and the terms of the agreement.  States not subject to a Treasury-State agreement do not accrue an interest liability to the Federal government for a debt arising from a Federal assistance award.  Interest above $100 per year earned by local governments and federally recognized Tribes on cash advances deposited in an interest-bearing account will not be considered a debt until after 90 days from the end of the quarter when it first accrued.  Interest above $250 earned by institutions of higher education, hospitals, and other nonprofit organizations on cash advances deposited in an interest bearing account will not be considered a debt until after 90 days from the end of the year when it first accrued.   USFWS will initiate claims collection procedures after the 90-day period expires.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Delinquency is defined at 31 CFR 900.2 (b) and the date from which interest is accrued is addressed at 31 CFR 901.9 (b)(1).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31 CFR 205.13 and  31 CFR 205.15 address the situations in which a State subject to a Treasury-State agreement may or may not incur an interest liability.  31 CFR 205.33 (b) provides that a State not subject to a Treasury-State agreement will not incur an interest liability.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12.61(i) and 43 CFR 12.205.33(b) address interest earned in interest bearing accounts.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31 CFR, part 901, addresses claims collection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M-18.   What are the penalties for a debt?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lastRenderedPageBreak/>
        <w:t>Unless otherwise established in a Treasury-State agreement, contract, repayment agreement, or by statute, USFWS will charge a penalty, pursuant to 31 U.S.C. 3717(e)(2), not to exceed six percent a year on the amount due on a debt that is delinquent for more than 90 days.  This charge will accrue from the date of delinquency, which will generally be 30 days from the date that the demand letter is mailed or hand delivered.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above provision on penalties imposed on a delinquent debt arising from a federal assistance award is based on 31 CFR 901.9(d).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M-19.   What if I manage land acquired in a grant-funded project in a way that is inconsistent with the project’s purpose without getting the USFWS’s  consent?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recipient, subrecipient, or other authorized title holder, without the grant officer’s permission manages the property in a manner inconsistent with the authorized project purpose, USFWS will give, at its discretion, one or more of the following four instructions:</w:t>
      </w:r>
    </w:p>
    <w:p w:rsidR="001F0636" w:rsidRDefault="001F0636">
      <w:pPr>
        <w:pStyle w:val="Level1"/>
        <w:numPr>
          <w:ilvl w:val="0"/>
          <w:numId w:val="39"/>
        </w:numPr>
        <w:tabs>
          <w:tab w:val="left" w:pos="-480"/>
          <w:tab w:val="left" w:pos="0"/>
          <w:tab w:val="left" w:pos="90"/>
          <w:tab w:val="left" w:pos="180"/>
          <w:tab w:val="left" w:pos="270"/>
          <w:tab w:val="left" w:pos="360"/>
          <w:tab w:val="num" w:pos="540"/>
          <w:tab w:val="left" w:pos="720"/>
          <w:tab w:val="left" w:pos="900"/>
          <w:tab w:val="left" w:pos="1080"/>
        </w:tabs>
        <w:ind w:hanging="360"/>
        <w:rPr>
          <w:sz w:val="20"/>
          <w:szCs w:val="20"/>
        </w:rPr>
      </w:pPr>
      <w:r>
        <w:rPr>
          <w:sz w:val="20"/>
          <w:szCs w:val="20"/>
        </w:rPr>
        <w:t>Stop the practices that are inconsistent with the purposes of the project.  Provide USFWS with a corrective management plan that will restore any environmental damage and provide a framework for ongoing management consistent with the purposes of the project.</w:t>
      </w:r>
    </w:p>
    <w:p w:rsidR="001F0636" w:rsidRDefault="001F0636">
      <w:pPr>
        <w:pStyle w:val="Level1"/>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sz w:val="20"/>
          <w:szCs w:val="20"/>
        </w:rPr>
      </w:pPr>
      <w:r>
        <w:rPr>
          <w:sz w:val="20"/>
          <w:szCs w:val="20"/>
        </w:rPr>
        <w:t>i</w:t>
      </w:r>
      <w:r>
        <w:rPr>
          <w:sz w:val="20"/>
          <w:szCs w:val="20"/>
        </w:rPr>
        <w:fldChar w:fldCharType="begin"/>
      </w:r>
      <w:r>
        <w:rPr>
          <w:sz w:val="20"/>
          <w:szCs w:val="20"/>
        </w:rPr>
        <w:instrText>LISTNUM AutoList65 \l 1</w:instrText>
      </w:r>
      <w:r>
        <w:rPr>
          <w:sz w:val="20"/>
          <w:szCs w:val="20"/>
        </w:rPr>
        <w:fldChar w:fldCharType="end"/>
      </w:r>
      <w:r>
        <w:rPr>
          <w:sz w:val="20"/>
          <w:szCs w:val="20"/>
        </w:rPr>
        <w:tab/>
        <w:t>Retain title without further obligation to the Federal government after compensating USFWS for that percentage of the current fair market value of the interest in real property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sz w:val="20"/>
          <w:szCs w:val="20"/>
        </w:rPr>
      </w:pPr>
      <w:r>
        <w:rPr>
          <w:sz w:val="20"/>
          <w:szCs w:val="20"/>
        </w:rPr>
        <w:t xml:space="preserve">iii. </w:t>
      </w:r>
      <w:r>
        <w:rPr>
          <w:sz w:val="20"/>
          <w:szCs w:val="20"/>
        </w:rPr>
        <w:tab/>
        <w:t>Sell the interest in real property under guidelines provided by USFWS and pay USFWS for that percentage of the current fair market value of the interest in real property attributable to the Federal participation in the project (after deducting actual and reasonable selling or fix-up expenses, if any, from the sales proceeds).  When USFWS authorizes or requires the recipient, subrecipient, or other authorized title holder to sell the interest in real property, the recipient, subrecipient, or other authorized title holder must establish proper sales procedures that provide for competition to the extent practicable and result in the highest possible return.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sz w:val="20"/>
          <w:szCs w:val="20"/>
        </w:rPr>
      </w:pPr>
      <w:r>
        <w:rPr>
          <w:sz w:val="20"/>
          <w:szCs w:val="20"/>
        </w:rPr>
        <w:t xml:space="preserve">iv. </w:t>
      </w:r>
      <w:r>
        <w:rPr>
          <w:sz w:val="20"/>
          <w:szCs w:val="20"/>
        </w:rPr>
        <w:tab/>
        <w:t>Transfer title to the interest in real property to the Federal Government or to an eligible third party provided that, in such cases, the recipient, subrecipient, or other authorized title holder who continued to hold title after contributing match to the project is entitled to compensation for its attributable percentage of the current fair market value of the interest in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sz w:val="20"/>
          <w:szCs w:val="20"/>
        </w:rPr>
      </w:pPr>
      <w:r>
        <w:rPr>
          <w:sz w:val="20"/>
          <w:szCs w:val="20"/>
        </w:rPr>
        <w:t>In three of the above options (ii), (iii), and (iv), the USFWS, at its discretion, may require the recipient, subrecipient, or other authorized title holder to obtain at the recipient’s, subrecipient’s, or other authorized title holder’s expense an appraisal conforming to the most recent version of the Uniform Appraisal Standards of Federal Land Acquisition or its equivalent.  A USFWS or other Federal review appraiser must review and approve the appraisal.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If a recipient does not obtain the grant officer’s permission before managing the real property in a manner inconsistent with the federally assisted project’s purpose, it is a violation of 43 CFR 12.71©) or 43 CFR 12.932 ©).  The recipient has a responsibility to the Federal government, and by extension, a responsibility to the public, to manage real property interests acquired in a federally assisted project for the purposes of that project.  If it fails to do so, it must make restitution.  The disposition instructions provided at 43 CFR 12.71 and 43 CFR 12.932 provide the means of making that restitution.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12.71 and 43 CFR 12.932 differ in how they calculate the percentage of the current fair market value of the interest in real property attributable to the Federal participation.  43 CFR 12.71, which is applicable to States, Tribes, and local government, stipulates the “Federal participation in the cost of the original purchase.”  43 CFR 12.932, which is applicable to institutions of higher education, hospitals, and nonprofit organizations, stipulates “Federal participation in the project.”  The Department of the Interior’s Solicitor's Office advised the NAWCA Grants Program informally that the approach to compensating the Federal government for disposition of real property under 43 CFR 12.71, if enforced,  would make matching in-kind contributions of real property almost meaningless.  There</w:t>
      </w:r>
      <w:r>
        <w:rPr>
          <w:rFonts w:ascii="Times New Roman" w:hAnsi="Times New Roman" w:cs="Times New Roman"/>
          <w:sz w:val="20"/>
          <w:szCs w:val="20"/>
        </w:rPr>
        <w:t xml:space="preserve"> </w:t>
      </w:r>
      <w:r>
        <w:rPr>
          <w:rFonts w:ascii="Times New Roman" w:hAnsi="Times New Roman" w:cs="Times New Roman"/>
          <w:sz w:val="16"/>
          <w:szCs w:val="16"/>
        </w:rPr>
        <w:t xml:space="preserve">would be no penalty if such matching in-kind contributions are withdrawn from the project.  Therefore, we should use the approach in 43 CFR 12.932 to calculate the amount due the Federal government, i.e., the Federal government must be compensated for that percentage of the current fair market value of the property attributable to the Federal participation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requirement for a UASFLA appraisal and an appraisal review are based on the requirements of 49 CFR 24.103 and 49 CFR 24.104.  Although 49 CFR, part 24, applies to the direct acquisition of real property for the Federal government and for a federally assisted project, its requirement of “nationally recognized appraisal standards, including to the extent appropriate the UASFLA” together with an appraisal review would also serve to protect the Federal government’s interest in a disposition.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M-20.   What if I convey any of the interests in land acquired in a grant-funded project to someone else or encumber it with a mortgage, lien, or easement without getting the USFWS’s permission?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recipient, subrecipient, or other authorized title holder, without the grant officer’s permission conveys any of the interests in the real property acquired under the grant to another entity or encumbers it with a mortgage, lien, or easement without getting the grant officer’s permission, the grant officer will apply, at his or her discretion, one of the following alternatives for redress:</w:t>
      </w:r>
    </w:p>
    <w:p w:rsidR="001F0636" w:rsidRDefault="001F0636">
      <w:pPr>
        <w:pStyle w:val="Level1"/>
        <w:numPr>
          <w:ilvl w:val="0"/>
          <w:numId w:val="28"/>
        </w:numPr>
        <w:tabs>
          <w:tab w:val="left" w:pos="-480"/>
          <w:tab w:val="left" w:pos="0"/>
          <w:tab w:val="left" w:pos="90"/>
          <w:tab w:val="left" w:pos="180"/>
          <w:tab w:val="left" w:pos="270"/>
          <w:tab w:val="left" w:pos="360"/>
          <w:tab w:val="left" w:pos="540"/>
          <w:tab w:val="num" w:pos="720"/>
          <w:tab w:val="left" w:pos="900"/>
          <w:tab w:val="left" w:pos="1080"/>
        </w:tabs>
        <w:ind w:left="900" w:hanging="360"/>
        <w:rPr>
          <w:sz w:val="20"/>
          <w:szCs w:val="20"/>
        </w:rPr>
      </w:pPr>
      <w:r>
        <w:rPr>
          <w:sz w:val="20"/>
          <w:szCs w:val="20"/>
        </w:rPr>
        <w:t xml:space="preserve">direct the recipient or subrecipient to convey to the USFWS or its designee an interest in real property that has a </w:t>
      </w:r>
      <w:r>
        <w:rPr>
          <w:sz w:val="20"/>
          <w:szCs w:val="20"/>
        </w:rPr>
        <w:lastRenderedPageBreak/>
        <w:t>value equal to the percentage of the current fair market value of the interest in real property attributable to the Federal participation in the project and that will serve the same purpose of long-term conservation and management of the affected wetland ecosystem and the fish and wildlife dependent thereon;</w:t>
      </w:r>
    </w:p>
    <w:p w:rsidR="001F0636" w:rsidRDefault="001F0636">
      <w:pPr>
        <w:pStyle w:val="Level1"/>
        <w:numPr>
          <w:ilvl w:val="0"/>
          <w:numId w:val="28"/>
        </w:numPr>
        <w:tabs>
          <w:tab w:val="left" w:pos="-480"/>
          <w:tab w:val="left" w:pos="0"/>
          <w:tab w:val="left" w:pos="90"/>
          <w:tab w:val="left" w:pos="180"/>
          <w:tab w:val="left" w:pos="270"/>
          <w:tab w:val="left" w:pos="360"/>
          <w:tab w:val="left" w:pos="540"/>
          <w:tab w:val="num" w:pos="720"/>
          <w:tab w:val="left" w:pos="900"/>
          <w:tab w:val="left" w:pos="1080"/>
        </w:tabs>
        <w:ind w:left="900" w:hanging="360"/>
        <w:rPr>
          <w:sz w:val="20"/>
          <w:szCs w:val="20"/>
        </w:rPr>
        <w:sectPr w:rsidR="001F0636">
          <w:type w:val="continuous"/>
          <w:pgSz w:w="12240" w:h="15840"/>
          <w:pgMar w:top="450" w:right="450" w:bottom="720" w:left="720" w:header="450" w:footer="720" w:gutter="0"/>
          <w:cols w:space="720"/>
          <w:noEndnote/>
        </w:sectPr>
      </w:pPr>
    </w:p>
    <w:p w:rsidR="001F0636" w:rsidRDefault="001F0636">
      <w:pPr>
        <w:pStyle w:val="Level1"/>
        <w:tabs>
          <w:tab w:val="left" w:pos="-480"/>
          <w:tab w:val="left" w:pos="0"/>
          <w:tab w:val="left" w:pos="90"/>
          <w:tab w:val="left" w:pos="180"/>
          <w:tab w:val="left" w:pos="270"/>
          <w:tab w:val="left" w:pos="360"/>
          <w:tab w:val="left" w:pos="540"/>
          <w:tab w:val="num" w:pos="720"/>
          <w:tab w:val="left" w:pos="900"/>
          <w:tab w:val="left" w:pos="1080"/>
        </w:tabs>
        <w:rPr>
          <w:sz w:val="20"/>
          <w:szCs w:val="20"/>
        </w:rPr>
      </w:pPr>
      <w:r>
        <w:rPr>
          <w:sz w:val="20"/>
          <w:szCs w:val="20"/>
        </w:rPr>
        <w:lastRenderedPageBreak/>
        <w:t>direct the recipient or subrecipient to pay USFWS that percentage of the fair market value of the interest in real property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sz w:val="20"/>
          <w:szCs w:val="20"/>
        </w:rPr>
      </w:pPr>
      <w:r>
        <w:rPr>
          <w:sz w:val="20"/>
          <w:szCs w:val="20"/>
        </w:rPr>
        <w:t>In the case of alternatives (i) and (ii) above, the grant officer, at his or her discretion, may require the recipient or subrecipient to obtain at the recipient’s, subrecipient’s, or other authorized title holder’s expense an appraisal conforming to the most recent version of the Uniform Appraisal Standards of Federal Land Acquisition or its equivalent.  A USFWS or other Federal reviewing appraiser must review and approve the appraisal.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sz w:val="20"/>
          <w:szCs w:val="20"/>
        </w:rPr>
      </w:pPr>
      <w:r>
        <w:rPr>
          <w:sz w:val="20"/>
          <w:szCs w:val="20"/>
        </w:rPr>
        <w:t xml:space="preserve">In addition to applying one of the alternatives for redress, the grant officer may also apply one or more of the consequences of failure to comply with the terms of an award as described elsewhere in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If a recipient does not obtain the grant officer’s permission before conveying the real property to another entity, it is a violation of 43 CFR 12.71©) or 43 CFR 12.932 ©).  The recipient has a responsibility to the Federal government, and by extension, a responsibility to the public, to manage real property interests acquired in a federally assisted project for the purposes of that project.  If it fails to do so, it must make restitution.  The disposition instructions provided at 43 CFR 12.71©)(1) and 43 CFR 12.932©)(1) provide the model for making that restitution.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12.71©)(1) and 43 CFR 12.932 ©)(1) differ in how they calculate the percentage of the current fair market value of the interest in real property attributable to the Federal participation.  43 CFR 12.71©)(1), which is applicable to States, Tribes, and local government, stipulates the “Federal participation in the cost of the original purchase.”  43 CFR 12.932©)(1), which is applicable to institutions of higher education, hospitals, and nonprofit organizations, stipulates “Federal participation in the project.”  The Department of the Interior’s Solicitor's Office advised the NAWCA Grants Program informally that the approach to compensating the Federal government for disposition of real property under 43 CFR 12.71, if enforced,  would make matching in-kind contributions of real property almost meaningless.  There would be no penalty if such matching in-kind contributions are withdrawn from the project.  Therefore, we should use the approach in 43 CFR 12.932 to calculate the amount due the Federal government, i.e., the Federal government must be compensated for that percentage of the current fair market value of the property attributable to the Federal participation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requirement for a UASFLA appraisal and an appraisal review are based on the requirements of 49 CFR 24.103 and 49 CFR 24.104.  Although 49 CFR, part 24, applies to the direct acquisition of real property for the Federal government and for a federally assisted project, its requirement of “nationally recognized appraisal standards, including to the extent appropriate the UASFLA” together with an appraisal review would also serve to protect the Federal government’s interest in a disposition.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20"/>
          <w:szCs w:val="20"/>
        </w:rPr>
        <w:t>N.   APPEALS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N-1.   If I do not agree with the USFWS grant officer, may I appeal his or her decision?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recipient may appeal any difference of opinion over the eligibility of activities or the conduct of work to the Director of USFWS, or his or her designated representative.  Final determination rests with the Secretary of the Interior or his or her authorized representative.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12.83(b) and 43 CFR 12.961(b) have essentially the same statement on appeals.  The 43 CFR 12.961 version reads: “In taking an enforcement action, the awarding agency shall provide the recipient an opportunity for hearing, appeal, or other administrative proceeding to which the recipient is entitled under any statute or regulation applicable to the action involved.”   Neither NAWCA or its associated legislative reports provide for “hearing, appeal, or other administrative proceeding”.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49 CFR 24.10(b) states: “Any aggrieved person may file a written appeal with the Agency in any case in which the person believes that the Agency has failed to properly consider the person’s application for assistance under this part.  Such assistance may include, but is not limited to, the person’s eligibility for, or the amount of a payment required under §24.107, or a relocation payment required under this part.  The Agency shall consider a written appeal regardless of form.”  The definition of </w:t>
      </w:r>
      <w:r>
        <w:rPr>
          <w:rFonts w:ascii="Times New Roman" w:hAnsi="Times New Roman" w:cs="Times New Roman"/>
          <w:i/>
          <w:iCs/>
          <w:sz w:val="16"/>
          <w:szCs w:val="16"/>
        </w:rPr>
        <w:t>Agency</w:t>
      </w:r>
      <w:r>
        <w:rPr>
          <w:rFonts w:ascii="Times New Roman" w:hAnsi="Times New Roman" w:cs="Times New Roman"/>
          <w:sz w:val="16"/>
          <w:szCs w:val="16"/>
        </w:rPr>
        <w:t xml:space="preserve"> quoted below indicates that in the case of federally assisted projects, the grant recipient or subrecipient must establish and implement the appeals process provided at 49 CFR 24.10(b).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49 CFR 24.2 states: “The term </w:t>
      </w:r>
      <w:r>
        <w:rPr>
          <w:rFonts w:ascii="Times New Roman" w:hAnsi="Times New Roman" w:cs="Times New Roman"/>
          <w:i/>
          <w:iCs/>
          <w:sz w:val="16"/>
          <w:szCs w:val="16"/>
        </w:rPr>
        <w:t>Agency</w:t>
      </w:r>
      <w:r>
        <w:rPr>
          <w:rFonts w:ascii="Times New Roman" w:hAnsi="Times New Roman" w:cs="Times New Roman"/>
          <w:sz w:val="16"/>
          <w:szCs w:val="16"/>
        </w:rPr>
        <w:t xml:space="preserve"> means the Federal agency, State, State agency, or person that acquires real property or displaces a person.”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4.700 states: “Any party aggrieved by an adjudicatory action or decision of a Departmental official relating to rights or privileges based upon law in any case or proceeding in which Departmental regulations allow a right of appeal to the head of the Department from such action or decision, should direct his appeal to the Director, Office of Hearings and Appeals, if the case is not one which lies within the appellate review jurisdiction of a established Appeals Board and is not excepted from the review authority delegated to the Director.”  Concurrent with the proposal of this policy, the NAWCA Grants Program is proposing a program regulation that allows a right of appeal to the Secretary of the Interior, thus it assumes that all appeals of a decision of the USFWS Director must be directed to the Director of the Office of Hearings and Appeals of the Department of the Interior.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If an appeal involves any matter under the authority of the Uniform Relocation and Real Property Acquisition Policies Act of 1970, as amended, (Public Law 91-646) it is important to note section 102(a) of that Act which states: “The provisions of section 301 of title III of this Act create no rights or liabilities and shall not affect the validity of any property acquisitions by purchase or condemnation.”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Regulations at 50 CFR, part 80, are entitled Administrative Requirements, Federal Aid in Fish and Wildlife Restoration Acts.  50 CFR 80.7 addresses appeals.  It reads: “Any difference of opinion over the eligibility of proposed activities or differences arising over the conduct of work may be appealed to the Director.  Final determination rests with the Secretary.”   DOI Solicitor’s Attorney Larry Mellinger advised the NAWCA U.S. grants administration staff on October 30, 2004, to adopt the USFWS’s Federal Assistance’s Grant Programs’ language on appeals in 50 CFR, part 80.  This provision makes 50 CFR 80.7 consistent with “Plain English” principles, and explicitly provides the discretion for the Secretary’s delegation of responsibility.  Subject to limitations in 200 DM 1, the Departmental Manual in 209 DM 6 delegates the Secretary’s authority to the Assistant Secretary for Fish and Wildlife and Parks.  Subject to limitations in 242 DM 2.2 and 2.3, the Departmental Manual in 209 DM 6 delegates the authority of the Assistant Secretary for Fish and Wildlife and Parks to the USFWS Director.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N-2.   How do I appeal a decision of the USFWS grant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Recipients may initiate an appeal of any decision of a grant officer by sending a letter to the Chief of the Division of Bird Habitat Conservation requesting him or her to review the grant officer’s decision.  The letter must provide the following information in the same format that it is presented here:</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 \s 1</w:instrText>
      </w:r>
      <w:r>
        <w:rPr>
          <w:rFonts w:ascii="Times New Roman" w:hAnsi="Times New Roman" w:cs="Times New Roman"/>
          <w:sz w:val="20"/>
          <w:szCs w:val="20"/>
        </w:rPr>
        <w:fldChar w:fldCharType="end"/>
      </w:r>
      <w:r>
        <w:rPr>
          <w:rFonts w:ascii="Times New Roman" w:hAnsi="Times New Roman" w:cs="Times New Roman"/>
          <w:sz w:val="20"/>
          <w:szCs w:val="20"/>
        </w:rPr>
        <w:tab/>
        <w:t>Date of appeal.</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Title of the applicable NAWCA project and any document number or other identifying numbers that may be associated with the project.</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 xml:space="preserve">Funding period (project period). </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The grant officer’s decision that is the subject of the recipient’s appeal.</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Background of decision.</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Recipient’s desired decision.</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Statutory, regulatory, or policy basis for the recipient’s position on the issue being appealed.</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Signature of an authorized representative of the 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12.83(b) and 43 CFR 12.961(b) have essentially the same statement on appeals.  The 43 CFR 12.961 version reads: “In taking an enforcement action, the awarding agency shall provide the recipient an opportunity for hearing, appeal, or other administrative proceeding to which the recipient is entitled under any statute or regulation applicable to the action involved.”   Neither NAWCA or its associated legislative reports provide for “hearing, appeal, or other administrative proceeding”.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Although 43 CFR 12.83(b) and 43 CFR 12.961(b) do not require an appeal process, nether do they prohibit an appeal process.  This appeal process is not more restrictive on grant recipients, thus OMB approval is not required as provided in 43 CFR 12.904.  The appeal process also does not conflict with 43 CFR 12.46(a) which states: “Federal agencies may not impose additional administrative requirements except in codified regulations published in the FEDERAL REGISTER.”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 xml:space="preserve">O.   AUDITS AND MONITORING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O-1.   Do I have to arrange for an annual audit of my expenditures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Recipients and subrecipients must have a single or program-specific audit if they expend $500,000 or more in a year in Federal awards and are agencies or instrumentalities of States, federally recognized Indian Tribes, or local governments, or nonprofit institutions of higher education, nonprofit hospitals, or other nonprofit organizations.  The audit must be conducted by an independent auditor for that year, and it must be in accordance with OMB Circular A-133, “Audits of States, Local Governments, and Non-Profit Organizations.”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OMB Circular A-133, “Audits of States, local governments, and Non-Profit Organizations”, Section ___.200, requires non-Federal entities that expend $500,000 or more in a year in Federal awards must have a single or program-specific audit conducted for that year in accordance with A-133.  The definitions of</w:t>
      </w:r>
      <w:r>
        <w:rPr>
          <w:rFonts w:ascii="Times New Roman" w:hAnsi="Times New Roman" w:cs="Times New Roman"/>
          <w:i/>
          <w:iCs/>
          <w:sz w:val="16"/>
          <w:szCs w:val="16"/>
        </w:rPr>
        <w:t xml:space="preserve"> non-Federal entity</w:t>
      </w:r>
      <w:r>
        <w:rPr>
          <w:rFonts w:ascii="Times New Roman" w:hAnsi="Times New Roman" w:cs="Times New Roman"/>
          <w:sz w:val="16"/>
          <w:szCs w:val="16"/>
        </w:rPr>
        <w:t xml:space="preserve">,  </w:t>
      </w:r>
      <w:r>
        <w:rPr>
          <w:rFonts w:ascii="Times New Roman" w:hAnsi="Times New Roman" w:cs="Times New Roman"/>
          <w:i/>
          <w:iCs/>
          <w:sz w:val="16"/>
          <w:szCs w:val="16"/>
        </w:rPr>
        <w:t>non-profit organization</w:t>
      </w:r>
      <w:r>
        <w:rPr>
          <w:rFonts w:ascii="Times New Roman" w:hAnsi="Times New Roman" w:cs="Times New Roman"/>
          <w:sz w:val="16"/>
          <w:szCs w:val="16"/>
        </w:rPr>
        <w:t>, State, and</w:t>
      </w:r>
      <w:r>
        <w:rPr>
          <w:rFonts w:ascii="Times New Roman" w:hAnsi="Times New Roman" w:cs="Times New Roman"/>
          <w:i/>
          <w:iCs/>
          <w:sz w:val="16"/>
          <w:szCs w:val="16"/>
        </w:rPr>
        <w:t xml:space="preserve"> Indian Tribe</w:t>
      </w:r>
      <w:r>
        <w:rPr>
          <w:rFonts w:ascii="Times New Roman" w:hAnsi="Times New Roman" w:cs="Times New Roman"/>
          <w:sz w:val="16"/>
          <w:szCs w:val="16"/>
        </w:rPr>
        <w:t xml:space="preserve"> at section ___.105 indicate that A-133 applies to States, federally recognized Indian Tribes, local governments, nonprofit institutions of higher education , nonprofit hospitals, and other nonprofit organizations.  43 CFR 12.66 provides that recipients and subrecipients who are States, federally recognized Indian Tribes, and local governments obtain independent audits in accordance with OMB Circular A-133.  43 CFR 12.926 provides the same requirement for recipients who are institutions of higher education, hospitals, and other nonprofit organizations.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O-2.   Does the USFWS have the right to conduct its own audits of a NAWCA-funded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ind w:left="270"/>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ADVANCE \d4</w:instrText>
      </w:r>
      <w:r>
        <w:rPr>
          <w:rFonts w:ascii="Times New Roman" w:hAnsi="Times New Roman" w:cs="Times New Roman"/>
          <w:sz w:val="20"/>
          <w:szCs w:val="20"/>
        </w:rPr>
        <w:fldChar w:fldCharType="end"/>
      </w:r>
      <w:r>
        <w:rPr>
          <w:rFonts w:ascii="Times New Roman" w:hAnsi="Times New Roman" w:cs="Times New Roman"/>
          <w:sz w:val="20"/>
          <w:szCs w:val="20"/>
        </w:rPr>
        <w:t xml:space="preserve">The USFWS, the Inspector General, Comptroller General of the United States, or any of their duly authorized representatives, have the right of timely and unrestricted access to any books, documents, papers, or other records of recipients that are pertinent to the awards, in order to make audits, examinations, excerpts, transcripts and copies of such documents.  In the case of  recipients that are institutions of higher education, hospitals, and other nonprofit organizations, this right also includes timely and reasonable access to a recipient's personnel for the purpose of interview and discussion related to such documents.  For all recipients, the rights of access in </w:t>
      </w:r>
      <w:r>
        <w:rPr>
          <w:rFonts w:ascii="Times New Roman" w:hAnsi="Times New Roman" w:cs="Times New Roman"/>
          <w:sz w:val="20"/>
          <w:szCs w:val="20"/>
        </w:rPr>
        <w:lastRenderedPageBreak/>
        <w:t xml:space="preserve">this paragraph are not limited to the required retention period for records, but will last as long as any records on the grant-funded project are retained by the recipient or the USFWS.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rPr>
          <w:rFonts w:ascii="Times New Roman" w:hAnsi="Times New Roman" w:cs="Times New Roman"/>
          <w:sz w:val="20"/>
          <w:szCs w:val="20"/>
        </w:rPr>
      </w:pPr>
      <w:r>
        <w:rPr>
          <w:rFonts w:ascii="Times New Roman" w:hAnsi="Times New Roman" w:cs="Times New Roman"/>
          <w:sz w:val="20"/>
          <w:szCs w:val="20"/>
        </w:rPr>
        <w:t>These requirements are based on the provisions of 43 CFR 12.82(e) and 43 CFR 12.953(e).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ind w:left="90"/>
        <w:rPr>
          <w:rFonts w:ascii="Times New Roman" w:hAnsi="Times New Roman" w:cs="Times New Roman"/>
          <w:sz w:val="20"/>
          <w:szCs w:val="20"/>
        </w:rPr>
      </w:pPr>
      <w:r>
        <w:rPr>
          <w:rFonts w:ascii="Times New Roman" w:hAnsi="Times New Roman" w:cs="Times New Roman"/>
          <w:b/>
          <w:bCs/>
          <w:sz w:val="20"/>
          <w:szCs w:val="20"/>
        </w:rPr>
        <w:t>O-3.   Can the USFWS monitor real property, equipment, or supplies acquired, habitat restored or enhanced, or wetlands created?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ind w:left="9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ind w:left="270"/>
        <w:rPr>
          <w:rFonts w:ascii="Sakkal Majalla" w:hAnsi="Sakkal Majalla" w:cs="Sakkal Majalla"/>
          <w:sz w:val="20"/>
          <w:szCs w:val="20"/>
        </w:rPr>
      </w:pPr>
      <w:r>
        <w:rPr>
          <w:rFonts w:ascii="Times New Roman" w:hAnsi="Times New Roman" w:cs="Times New Roman"/>
          <w:sz w:val="20"/>
          <w:szCs w:val="20"/>
        </w:rPr>
        <w:lastRenderedPageBreak/>
        <w:t>The grant officer and other USFWS personnel may make site visits, as needed, to monitor real property, equipment, or supplies acquired under an award, habitat restored or enhanced under an award, or wetlands created under an award.  The purpose of such inspections will be to insure that the real property, equipment, supplies, or habitat is being used or managed for the authorized purpose of the award and such use or management is consistent with the terms of the Agreement.  The rights of access to real property, equipment, or supplies</w:t>
      </w:r>
      <w:r>
        <w:rPr>
          <w:rFonts w:ascii="Sakkal Majalla" w:hAnsi="Sakkal Majalla" w:cs="Sakkal Majalla"/>
          <w:sz w:val="20"/>
          <w:szCs w:val="20"/>
        </w:rPr>
        <w:t xml:space="preserve"> by the grant will terminate: (a) once the real property, equipment, or supplies have been legally disposed of; or (b) when the USFWS has approved a request that such real property, equipment, or supplies will no longer be used for the authorized purpose of the award; or ©) when the term of the lease or easement expires; or (d) in the case of restoration, enhancement, and wetland creation, 25 years from the date that the grant officer receives final performance and financial reports.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12.80(e), which is applicable to States, federally recognized Indian Tribes, and local governments,  provides: “Federal agencies may make site visits as warranted by program needs.”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12.82(e), which is applicable to  States, federally recognized Indian Tribes, and local governments, provides: “The awarding agency and the Comptroller General of the United States, or any of their authorized representatives, shall have the right of access to any pertinent books, documents, papers, or other records of grantees and subgrantees which are pertinent to the grant, in order to make audits, examinations, excerpts, and transcripts. . . . The rights of access in this section must not be limited to the required retention period but shall last as long as the records are retained.”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12.951(g), which is applicable to institutions of higher education, hospitals, and other nonprofit organizations, provides: “Federal awarding agencies may make site visits, as needed.”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12.953 (e) which is applicable to institutions of higher education, hospitals, and other nonprofit organizations, provides essentially the same as 43 CFR12.82(e)but it adds: “This right also includes timely and reasonable access to a recipient’s personnel for the purpose of interview and discussion related to such documents.”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tbl>
      <w:tblPr>
        <w:tblW w:w="0" w:type="auto"/>
        <w:jc w:val="center"/>
        <w:tblLayout w:type="fixed"/>
        <w:tblCellMar>
          <w:left w:w="120" w:type="dxa"/>
          <w:right w:w="120" w:type="dxa"/>
        </w:tblCellMar>
        <w:tblLook w:val="0000" w:firstRow="0" w:lastRow="0" w:firstColumn="0" w:lastColumn="0" w:noHBand="0" w:noVBand="0"/>
      </w:tblPr>
      <w:tblGrid>
        <w:gridCol w:w="14400"/>
      </w:tblGrid>
      <w:tr w:rsidR="001F0636">
        <w:tblPrEx>
          <w:tblCellMar>
            <w:top w:w="0" w:type="dxa"/>
            <w:bottom w:w="0" w:type="dxa"/>
          </w:tblCellMar>
        </w:tblPrEx>
        <w:trPr>
          <w:jc w:val="center"/>
        </w:trPr>
        <w:tc>
          <w:tcPr>
            <w:tcW w:w="14400" w:type="dxa"/>
            <w:tcBorders>
              <w:top w:val="single" w:sz="7" w:space="0" w:color="000000"/>
              <w:left w:val="single" w:sz="7" w:space="0" w:color="000000"/>
              <w:bottom w:val="single" w:sz="7" w:space="0" w:color="000000"/>
              <w:right w:val="single" w:sz="7" w:space="0" w:color="000000"/>
            </w:tcBorders>
          </w:tcPr>
          <w:p w:rsidR="001F0636" w:rsidRDefault="001F0636">
            <w:pPr>
              <w:spacing w:line="120" w:lineRule="exact"/>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after="58"/>
              <w:rPr>
                <w:rFonts w:ascii="Times New Roman" w:hAnsi="Times New Roman" w:cs="Times New Roman"/>
                <w:i/>
                <w:iCs/>
                <w:sz w:val="32"/>
                <w:szCs w:val="32"/>
              </w:rPr>
            </w:pPr>
            <w:r>
              <w:rPr>
                <w:rFonts w:ascii="Times New Roman" w:hAnsi="Times New Roman" w:cs="Times New Roman"/>
                <w:i/>
                <w:iCs/>
                <w:sz w:val="32"/>
                <w:szCs w:val="32"/>
              </w:rPr>
              <w:t>APPENDIX</w:t>
            </w:r>
          </w:p>
        </w:tc>
      </w:tr>
    </w:tbl>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i/>
          <w:iCs/>
          <w:sz w:val="32"/>
          <w:szCs w:val="32"/>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i/>
          <w:iCs/>
          <w:sz w:val="32"/>
          <w:szCs w:val="32"/>
        </w:rPr>
      </w:pPr>
      <w:r>
        <w:rPr>
          <w:rFonts w:ascii="Times New Roman" w:hAnsi="Times New Roman" w:cs="Times New Roman"/>
          <w:i/>
          <w:iCs/>
          <w:sz w:val="32"/>
          <w:szCs w:val="32"/>
        </w:rPr>
        <w:t>DEFINITIONS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r>
        <w:rPr>
          <w:rFonts w:ascii="Times New Roman" w:hAnsi="Times New Roman" w:cs="Times New Roman"/>
          <w:sz w:val="20"/>
          <w:szCs w:val="20"/>
        </w:rPr>
        <w:t xml:space="preserve">Many of the terms in the Policy are defined in the statutes, regulations, and OMB Circulars applicable to Federal assistance, and some of these are repeated verbatim below for convenience.  Some, however, are clarified for the context of the NAWCA Grants Program.  Others are technical terms that are not defined in any of the applicable laws or regulations.  Still others are acronyms or common words with specific meaning in the context of the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r>
        <w:rPr>
          <w:rFonts w:ascii="Times New Roman" w:hAnsi="Times New Roman" w:cs="Times New Roman"/>
          <w:b/>
          <w:bCs/>
          <w:i/>
          <w:iCs/>
          <w:sz w:val="20"/>
          <w:szCs w:val="20"/>
        </w:rPr>
        <w:t>Acquisition</w:t>
      </w:r>
      <w:r>
        <w:rPr>
          <w:rFonts w:ascii="Times New Roman" w:hAnsi="Times New Roman" w:cs="Times New Roman"/>
          <w:sz w:val="20"/>
          <w:szCs w:val="20"/>
        </w:rPr>
        <w:t xml:space="preserve"> means the purchase, donation, or transfer as provided by law or mutual agreement, or some combination thereof, which results in an entity obtaining title to some or all of the rights to a specific acreage of real property by means of a written instrument such as a deed, easement, or an assignment of lease.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i/>
          <w:i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ight="-270"/>
        <w:rPr>
          <w:rFonts w:ascii="Times New Roman" w:hAnsi="Times New Roman" w:cs="Times New Roman"/>
          <w:sz w:val="20"/>
          <w:szCs w:val="20"/>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r>
        <w:rPr>
          <w:rFonts w:ascii="Times New Roman" w:hAnsi="Times New Roman" w:cs="Times New Roman"/>
          <w:b/>
          <w:bCs/>
          <w:i/>
          <w:iCs/>
          <w:sz w:val="20"/>
          <w:szCs w:val="20"/>
        </w:rPr>
        <w:t>Agreement</w:t>
      </w:r>
      <w:r>
        <w:rPr>
          <w:rFonts w:ascii="Times New Roman" w:hAnsi="Times New Roman" w:cs="Times New Roman"/>
          <w:sz w:val="20"/>
          <w:szCs w:val="20"/>
        </w:rPr>
        <w:t xml:space="preserve"> means a grant or cooperative agreement.  Either document is entitled “U.S. Fish and Wildlife Service Assistance Award” with the appropriate box checked to indicate that it is either a grant or cooperative agreement.   It is the legal instrument used to document a type of relationship between USFWS and a recipient of an award under NAWCA.  The principal purpose of the relationship is to transfer a thing of value to the recipient to carry out a public purpose of support or stimulation authorized by a law of the United States instead of acquiring (by purchase, lease, or barter) property or services for the direct benefit or use of the United States Government.  If substantial involvement is anticipated between the executive agency, acting for the Federal government, and the recipient when carrying out the contemplated activity, the agreement is a </w:t>
      </w:r>
      <w:r>
        <w:rPr>
          <w:rFonts w:ascii="Times New Roman" w:hAnsi="Times New Roman" w:cs="Times New Roman"/>
          <w:b/>
          <w:bCs/>
          <w:i/>
          <w:iCs/>
          <w:sz w:val="20"/>
          <w:szCs w:val="20"/>
        </w:rPr>
        <w:t>cooperative agreement</w:t>
      </w:r>
      <w:r>
        <w:rPr>
          <w:rFonts w:ascii="Times New Roman" w:hAnsi="Times New Roman" w:cs="Times New Roman"/>
          <w:sz w:val="20"/>
          <w:szCs w:val="20"/>
        </w:rPr>
        <w:t xml:space="preserve">.  If no such substantial involvement is anticipated, the agreement is a </w:t>
      </w:r>
      <w:r>
        <w:rPr>
          <w:rFonts w:ascii="Times New Roman" w:hAnsi="Times New Roman" w:cs="Times New Roman"/>
          <w:b/>
          <w:bCs/>
          <w:i/>
          <w:iCs/>
          <w:sz w:val="20"/>
          <w:szCs w:val="20"/>
        </w:rPr>
        <w:t>grant agreement</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ight="-270" w:hanging="180"/>
        <w:rPr>
          <w:rFonts w:ascii="Times New Roman" w:hAnsi="Times New Roman" w:cs="Times New Roman"/>
          <w:i/>
          <w:iCs/>
          <w:sz w:val="16"/>
          <w:szCs w:val="16"/>
        </w:rPr>
      </w:pPr>
      <w:r>
        <w:rPr>
          <w:rFonts w:ascii="Times New Roman" w:hAnsi="Times New Roman" w:cs="Times New Roman"/>
          <w:i/>
          <w:iCs/>
          <w:sz w:val="16"/>
          <w:szCs w:val="16"/>
        </w:rPr>
        <w:t xml:space="preserve"> </w:t>
      </w:r>
      <w:r>
        <w:rPr>
          <w:rFonts w:ascii="Times New Roman" w:hAnsi="Times New Roman" w:cs="Times New Roman"/>
          <w:i/>
          <w:iCs/>
          <w:sz w:val="16"/>
          <w:szCs w:val="16"/>
        </w:rPr>
        <w:tab/>
      </w:r>
      <w:r>
        <w:rPr>
          <w:rFonts w:ascii="Times New Roman" w:hAnsi="Times New Roman" w:cs="Times New Roman"/>
          <w:i/>
          <w:iCs/>
          <w:sz w:val="16"/>
          <w:szCs w:val="16"/>
        </w:rPr>
        <w:tab/>
        <w:t>COMMENTARY: This definition was adapted from provisions of the Federal Grant and Cooperative Agreement Act (Public Law 95-224)</w:t>
      </w:r>
      <w:r>
        <w:rPr>
          <w:rFonts w:ascii="Times New Roman" w:hAnsi="Times New Roman" w:cs="Times New Roman"/>
          <w:i/>
          <w:iCs/>
          <w:sz w:val="20"/>
          <w:szCs w:val="20"/>
        </w:rPr>
        <w:t>.</w:t>
      </w:r>
      <w:r>
        <w:rPr>
          <w:rFonts w:ascii="Times New Roman" w:hAnsi="Times New Roman" w:cs="Times New Roman"/>
          <w:i/>
          <w:iCs/>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r>
        <w:rPr>
          <w:rFonts w:ascii="Times New Roman" w:hAnsi="Times New Roman" w:cs="Times New Roman"/>
          <w:b/>
          <w:bCs/>
          <w:i/>
          <w:iCs/>
          <w:sz w:val="20"/>
          <w:szCs w:val="20"/>
        </w:rPr>
        <w:t>Allocable</w:t>
      </w:r>
      <w:r>
        <w:rPr>
          <w:rFonts w:ascii="Times New Roman" w:hAnsi="Times New Roman" w:cs="Times New Roman"/>
          <w:sz w:val="20"/>
          <w:szCs w:val="20"/>
        </w:rPr>
        <w:t xml:space="preserve"> means capable of being distributed to a grant in accordance with the relative benefits received.  It is allocable to a grant if it is treated consistently with other costs incurred for the same purpose in like circumstances.  It must also meet </w:t>
      </w:r>
      <w:r>
        <w:rPr>
          <w:rFonts w:ascii="Times New Roman" w:hAnsi="Times New Roman" w:cs="Times New Roman"/>
          <w:sz w:val="20"/>
          <w:szCs w:val="20"/>
          <w:u w:val="single"/>
        </w:rPr>
        <w:t>one</w:t>
      </w:r>
      <w:r>
        <w:rPr>
          <w:rFonts w:ascii="Times New Roman" w:hAnsi="Times New Roman" w:cs="Times New Roman"/>
          <w:sz w:val="20"/>
          <w:szCs w:val="20"/>
        </w:rPr>
        <w:t xml:space="preserve"> of the following criteria:</w:t>
      </w:r>
    </w:p>
    <w:p w:rsidR="001F0636" w:rsidRDefault="001F0636">
      <w:pPr>
        <w:tabs>
          <w:tab w:val="left" w:pos="-480"/>
          <w:tab w:val="left" w:pos="0"/>
          <w:tab w:val="left" w:pos="360"/>
          <w:tab w:val="left" w:pos="630"/>
        </w:tabs>
        <w:ind w:right="-270" w:firstLine="360"/>
        <w:rPr>
          <w:rFonts w:ascii="Times New Roman" w:hAnsi="Times New Roman" w:cs="Times New Roman"/>
          <w:sz w:val="20"/>
          <w:szCs w:val="20"/>
        </w:rPr>
      </w:pPr>
      <w:r>
        <w:rPr>
          <w:rFonts w:ascii="Times New Roman" w:hAnsi="Times New Roman" w:cs="Times New Roman"/>
          <w:sz w:val="20"/>
          <w:szCs w:val="20"/>
        </w:rPr>
        <w:t>(a) it is incurred specifically for the award;</w:t>
      </w:r>
    </w:p>
    <w:p w:rsidR="001F0636" w:rsidRDefault="001F0636">
      <w:pPr>
        <w:tabs>
          <w:tab w:val="left" w:pos="-480"/>
          <w:tab w:val="left" w:pos="0"/>
          <w:tab w:val="left" w:pos="360"/>
          <w:tab w:val="left" w:pos="630"/>
        </w:tabs>
        <w:ind w:right="-270" w:firstLine="360"/>
        <w:rPr>
          <w:rFonts w:ascii="Times New Roman" w:hAnsi="Times New Roman" w:cs="Times New Roman"/>
          <w:sz w:val="20"/>
          <w:szCs w:val="20"/>
        </w:rPr>
      </w:pPr>
      <w:r>
        <w:rPr>
          <w:rFonts w:ascii="Times New Roman" w:hAnsi="Times New Roman" w:cs="Times New Roman"/>
          <w:sz w:val="20"/>
          <w:szCs w:val="20"/>
        </w:rPr>
        <w:t xml:space="preserve">(b) it benefits both the award and other work and can be distributed in reasonable proportion to the benefits received; </w:t>
      </w:r>
      <w:r>
        <w:rPr>
          <w:rFonts w:ascii="Times New Roman" w:hAnsi="Times New Roman" w:cs="Times New Roman"/>
          <w:sz w:val="20"/>
          <w:szCs w:val="20"/>
          <w:u w:val="single"/>
        </w:rPr>
        <w:t>or</w:t>
      </w:r>
    </w:p>
    <w:p w:rsidR="001F0636" w:rsidRDefault="001F0636">
      <w:pPr>
        <w:tabs>
          <w:tab w:val="left" w:pos="-480"/>
          <w:tab w:val="left" w:pos="0"/>
          <w:tab w:val="left" w:pos="360"/>
          <w:tab w:val="left" w:pos="630"/>
        </w:tabs>
        <w:ind w:left="630" w:right="-270" w:hanging="270"/>
        <w:rPr>
          <w:rFonts w:ascii="Times New Roman" w:hAnsi="Times New Roman" w:cs="Times New Roman"/>
          <w:sz w:val="20"/>
          <w:szCs w:val="20"/>
        </w:rPr>
      </w:pPr>
      <w:r>
        <w:rPr>
          <w:rFonts w:ascii="Times New Roman" w:hAnsi="Times New Roman" w:cs="Times New Roman"/>
          <w:sz w:val="20"/>
          <w:szCs w:val="20"/>
        </w:rPr>
        <w:t>©) it is necessary to the overall operation of the organization although a direct relationship to any particular cost objective cannot be shown.</w:t>
      </w:r>
    </w:p>
    <w:p w:rsidR="001F0636" w:rsidRDefault="001F0636">
      <w:pPr>
        <w:tabs>
          <w:tab w:val="left" w:pos="-480"/>
          <w:tab w:val="left" w:pos="0"/>
          <w:tab w:val="left" w:pos="360"/>
          <w:tab w:val="left" w:pos="630"/>
        </w:tabs>
        <w:ind w:right="-270"/>
        <w:rPr>
          <w:rFonts w:ascii="Times New Roman" w:hAnsi="Times New Roman" w:cs="Times New Roman"/>
          <w:sz w:val="20"/>
          <w:szCs w:val="20"/>
        </w:rPr>
      </w:pPr>
      <w:r>
        <w:rPr>
          <w:rFonts w:ascii="Times New Roman" w:hAnsi="Times New Roman" w:cs="Times New Roman"/>
          <w:sz w:val="20"/>
          <w:szCs w:val="20"/>
        </w:rPr>
        <w:t>Any cost allocable to a particular award or other cost objective under these principles may not be shifted to other Federal awards to overcome funding deficiencies, or to avoid restrictions imposed by law or by the terms of the award.</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left="360" w:right="-270"/>
        <w:rPr>
          <w:rFonts w:ascii="Times New Roman" w:hAnsi="Times New Roman" w:cs="Times New Roman"/>
          <w:sz w:val="20"/>
          <w:szCs w:val="20"/>
        </w:rPr>
      </w:pPr>
      <w:r>
        <w:rPr>
          <w:rFonts w:ascii="Times New Roman" w:hAnsi="Times New Roman" w:cs="Times New Roman"/>
          <w:i/>
          <w:iCs/>
          <w:sz w:val="16"/>
          <w:szCs w:val="16"/>
        </w:rPr>
        <w:t>COMMENTARY: The criteria above are in OMB Circular A-122, Cost Principles for Nonprofit Organizations.  The rest of the definition is essentially in OMB Circular A-87, Cost principles for State, Local, and Indian Tribal Governments and A-122.  More specific language on allocability is in OMB Circular A-21, Cost Principles for Educational Institutions.</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right="-270"/>
        <w:rPr>
          <w:rFonts w:ascii="Times New Roman" w:hAnsi="Times New Roman" w:cs="Times New Roman"/>
          <w:sz w:val="20"/>
          <w:szCs w:val="20"/>
        </w:rPr>
      </w:pPr>
      <w:r>
        <w:rPr>
          <w:rFonts w:ascii="Times New Roman" w:hAnsi="Times New Roman" w:cs="Times New Roman"/>
          <w:b/>
          <w:bCs/>
          <w:i/>
          <w:iCs/>
          <w:sz w:val="20"/>
          <w:szCs w:val="20"/>
        </w:rPr>
        <w:t>Award</w:t>
      </w:r>
      <w:r>
        <w:rPr>
          <w:rFonts w:ascii="Times New Roman" w:hAnsi="Times New Roman" w:cs="Times New Roman"/>
          <w:sz w:val="20"/>
          <w:szCs w:val="20"/>
        </w:rPr>
        <w:t xml:space="preserve"> means Federal financial assistance to an eligible recipient for the purpose of providing support or stimulation to accomplish a public purpose.  An award occurs when an authorized representative of the USFWS signs the grant or cooperative agreement.</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left="360" w:right="-270"/>
        <w:rPr>
          <w:rFonts w:ascii="Times New Roman" w:hAnsi="Times New Roman" w:cs="Times New Roman"/>
          <w:i/>
          <w:iCs/>
          <w:sz w:val="16"/>
          <w:szCs w:val="16"/>
        </w:rPr>
      </w:pPr>
      <w:r>
        <w:rPr>
          <w:rFonts w:ascii="Times New Roman" w:hAnsi="Times New Roman" w:cs="Times New Roman"/>
          <w:i/>
          <w:iCs/>
          <w:sz w:val="16"/>
          <w:szCs w:val="16"/>
        </w:rPr>
        <w:t xml:space="preserve">COMMENTARY: The first part of this definition is taken from 43 CFR 12.902.  The second part of the definition was developed to address a question frequently posed by NAWCA Grant recipients. </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right="-270"/>
        <w:rPr>
          <w:rFonts w:ascii="Times New Roman" w:hAnsi="Times New Roman" w:cs="Times New Roman"/>
          <w:sz w:val="20"/>
          <w:szCs w:val="20"/>
        </w:rPr>
      </w:pPr>
      <w:r>
        <w:rPr>
          <w:rFonts w:ascii="Times New Roman" w:hAnsi="Times New Roman" w:cs="Times New Roman"/>
          <w:b/>
          <w:bCs/>
          <w:i/>
          <w:iCs/>
          <w:sz w:val="20"/>
          <w:szCs w:val="20"/>
        </w:rPr>
        <w:t>Buyer</w:t>
      </w:r>
      <w:r>
        <w:rPr>
          <w:rFonts w:ascii="Times New Roman" w:hAnsi="Times New Roman" w:cs="Times New Roman"/>
          <w:sz w:val="20"/>
          <w:szCs w:val="20"/>
        </w:rPr>
        <w:t xml:space="preserve"> means (for purposes of land acquisition under a NAWCA grant) the entity that is purchasing some or all of the interests or rights in a specific tract of land.</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left="360" w:right="-270"/>
        <w:rPr>
          <w:rFonts w:ascii="Times New Roman" w:hAnsi="Times New Roman" w:cs="Times New Roman"/>
          <w:sz w:val="20"/>
          <w:szCs w:val="20"/>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right="-270"/>
        <w:rPr>
          <w:rFonts w:ascii="Times New Roman" w:hAnsi="Times New Roman" w:cs="Times New Roman"/>
          <w:sz w:val="20"/>
          <w:szCs w:val="20"/>
        </w:rPr>
      </w:pPr>
      <w:r>
        <w:rPr>
          <w:rFonts w:ascii="Times New Roman" w:hAnsi="Times New Roman" w:cs="Times New Roman"/>
          <w:b/>
          <w:bCs/>
          <w:i/>
          <w:iCs/>
          <w:sz w:val="20"/>
          <w:szCs w:val="20"/>
        </w:rPr>
        <w:t>Closing statement</w:t>
      </w:r>
      <w:r>
        <w:rPr>
          <w:rFonts w:ascii="Times New Roman" w:hAnsi="Times New Roman" w:cs="Times New Roman"/>
          <w:b/>
          <w:bCs/>
          <w:sz w:val="20"/>
          <w:szCs w:val="20"/>
        </w:rPr>
        <w:t xml:space="preserve"> </w:t>
      </w:r>
      <w:r>
        <w:rPr>
          <w:rFonts w:ascii="Times New Roman" w:hAnsi="Times New Roman" w:cs="Times New Roman"/>
          <w:sz w:val="20"/>
          <w:szCs w:val="20"/>
        </w:rPr>
        <w:t>means the detailed cash accounting of a real estate transaction prepared by a broker, escrow officer, attorney, or other person designated to process the mechanics of the sale, showing all cash received, all charges and credits made and all cash paid out in the transaction.  It shows how all closing and adjustment costs plus prepaid and unpaid expenses are allocated between the buyer and the seller.  The closing statement may also be called a settlement statement or adjustment sheet.</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left="360" w:right="-270"/>
        <w:rPr>
          <w:rFonts w:ascii="Times New Roman" w:hAnsi="Times New Roman" w:cs="Times New Roman"/>
          <w:sz w:val="20"/>
          <w:szCs w:val="20"/>
        </w:rPr>
      </w:pPr>
      <w:r>
        <w:rPr>
          <w:rFonts w:ascii="Times New Roman" w:hAnsi="Times New Roman" w:cs="Times New Roman"/>
          <w:i/>
          <w:iCs/>
          <w:sz w:val="16"/>
          <w:szCs w:val="16"/>
        </w:rPr>
        <w:t>COMMENTARY: Definition is adapted to the definition of “closing statement”in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right="-270"/>
        <w:rPr>
          <w:rFonts w:ascii="Times New Roman" w:hAnsi="Times New Roman" w:cs="Times New Roman"/>
          <w:sz w:val="20"/>
          <w:szCs w:val="20"/>
        </w:rPr>
        <w:sectPr w:rsidR="001F0636">
          <w:pgSz w:w="12240" w:h="15840"/>
          <w:pgMar w:top="450" w:right="720" w:bottom="720" w:left="720" w:header="450" w:footer="720" w:gutter="0"/>
          <w:cols w:space="720"/>
          <w:noEndnote/>
        </w:sect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lastRenderedPageBreak/>
        <w:t>CFR</w:t>
      </w:r>
      <w:r>
        <w:rPr>
          <w:rFonts w:ascii="Times New Roman" w:hAnsi="Times New Roman" w:cs="Times New Roman"/>
          <w:sz w:val="20"/>
          <w:szCs w:val="20"/>
        </w:rPr>
        <w:t xml:space="preserve"> means the Code of Federal Regulations, as in 43 CFR, part 12, or 49 CFR, section 24.101(a)(2), or 49 CFR 24.102(h).  The Code is </w:t>
      </w:r>
      <w:r>
        <w:rPr>
          <w:rFonts w:ascii="Times New Roman" w:hAnsi="Times New Roman" w:cs="Times New Roman"/>
          <w:sz w:val="20"/>
          <w:szCs w:val="20"/>
        </w:rPr>
        <w:lastRenderedPageBreak/>
        <w:t xml:space="preserve">divided into 50 titles which represent broad areas subject to Federal regulation.  The number before CFR is the title number.  Each title is divided into chapters which usually bear the name of the issuing agency.  Each chapter is further subdivided into parts covering specific regulatory areas.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Definition adapted from information in the introductory “Explanation” in Title 43, Parts 1 to 199, Public Lands: Interior, revised as of October 1, 2002.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Construction</w:t>
      </w:r>
      <w:r>
        <w:rPr>
          <w:rFonts w:ascii="Times New Roman" w:hAnsi="Times New Roman" w:cs="Times New Roman"/>
          <w:sz w:val="20"/>
          <w:szCs w:val="20"/>
        </w:rPr>
        <w:t xml:space="preserve"> means the erection, assembly, installation, alteration, demolition, destruction, removal, or repair (including dredging, excavating, and painting) of buildings, structures, and other improvements of real property of all types.  Examples of such buildings, structures, and other improvements in the NAWCA Grants Program are earthen dams; levees; dikes; weirs; terraces; water control structures; fixed pumps; pump houses; culverts; water distribution pipes; irrigation tiles; wells; roads; placement of riprap, gravel, earth, or spoil; leveling or reshaping land; excavation, filling or plugging of canals and ditches; creation of nesting islands and nesting structures.  Land acquisition and “land development” are also classified as construction.  Almost all restoration, enhancement, and wetland creation activities in a NAWCA-funded project result in soil disturbance, either directly or indirectly, and can be categorized as conservation-oriented land development.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20"/>
          <w:szCs w:val="20"/>
        </w:rPr>
      </w:pPr>
      <w:r>
        <w:rPr>
          <w:rFonts w:ascii="Times New Roman" w:hAnsi="Times New Roman" w:cs="Times New Roman"/>
          <w:i/>
          <w:iCs/>
          <w:sz w:val="16"/>
          <w:szCs w:val="16"/>
        </w:rPr>
        <w:t>COMMENTARY: Definition is adapted, in part, from 48 CFR 36.102 Construction</w:t>
      </w:r>
      <w:r>
        <w:rPr>
          <w:rFonts w:ascii="Times New Roman" w:hAnsi="Times New Roman" w:cs="Times New Roman"/>
          <w:sz w:val="20"/>
          <w:szCs w:val="20"/>
        </w:rPr>
        <w:t>.</w:t>
      </w:r>
      <w:r>
        <w:rPr>
          <w:rFonts w:ascii="Times New Roman" w:hAnsi="Times New Roman" w:cs="Times New Roman"/>
          <w:i/>
          <w:iCs/>
          <w:sz w:val="16"/>
          <w:szCs w:val="16"/>
        </w:rPr>
        <w:t xml:space="preserve">  It also takes into account the OMB Circular A-102, Grants and Cooperative Agreements with State and Local Governments, Attachment, Section 3., which states: “Agencies shall use the Budget Information (Construction) and Standard Assurances (Construction) when the major purpose of the project or program is construction, land acquisition or land development”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Contract</w:t>
      </w:r>
      <w:r>
        <w:rPr>
          <w:rFonts w:ascii="Times New Roman" w:hAnsi="Times New Roman" w:cs="Times New Roman"/>
          <w:sz w:val="20"/>
          <w:szCs w:val="20"/>
        </w:rPr>
        <w:t xml:space="preserve"> means a mutually binding legal relationship obligating the seller to furnish the supplies or services (including construction) and the buyer to pay for them.  It includes all types of commitments that obligate the recipient or subrecipient to an expenditure of funds and that, except as otherwise authorized, are in writing.  In addition to bilateral instruments, contracts include (but are not limited to) awards and notices of awards; job orders or letters issued under basic ordering agreements; letter contracts; orders, such as purchase orders, under which the contract becomes effective by written acceptance or performance; and bilateral contract modifications.  Contracts do not include grants and cooperative agreements, but a recipient or subrecipient may award or enter into a contract under a grant-funded project.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 xml:space="preserve">COMMENTARY: This definition is adapted from the definition of “Contract”at OMB Circular A-87, Cost Principles for State, Local, and Indian Tribal Governments”.  Other authorities have less detailed definitions of “contract”, but none are in conflict with the above definition.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Contractually commit</w:t>
      </w:r>
      <w:r>
        <w:rPr>
          <w:rFonts w:ascii="Times New Roman" w:hAnsi="Times New Roman" w:cs="Times New Roman"/>
          <w:sz w:val="20"/>
          <w:szCs w:val="20"/>
        </w:rPr>
        <w:t xml:space="preserve"> to the purchase of real property means to become legally obligated to purchase an interest in real property with all contingencies placed on the buyer’s obligations having been satisfied.  An instrument for a legal obligation to purchase is called an exercised option, a purchase agreement, contract of sale, sales contract, deposit receipt, offer and acceptance, agreement of sale, offer to lease or purchase, or sale agreement.  All of these variously named instruments of contractual obligation may provide for periods of due diligence during which the buyer may withdraw from the contractual obligation if he or she finds any of the specified objectionable conditions, but the costs would have been incurred on the date that it was signed by all parties, not at the end of the period of due diligence.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adapted from the definitions of “contract of sale”, “due diligence”, and “option”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Cooperative agreement</w:t>
      </w:r>
      <w:r>
        <w:rPr>
          <w:rFonts w:ascii="Times New Roman" w:hAnsi="Times New Roman" w:cs="Times New Roman"/>
          <w:sz w:val="20"/>
          <w:szCs w:val="20"/>
        </w:rPr>
        <w:t xml:space="preserve"> means the legal instrument used to document a type of relationship between the USFWS and a Federal grant recipient.  The principle purpose of the relationship is to transfer a thing of value to the recipient to carry out a public purpose of support or stimulation authorized by a law of the United States instead of acquiring (by purchase, lease, or barter) property or services for the direct benefit or use of the United States Government.  Substantial involvement is expected between the USFWS and the recipient when carrying out the activity contemplated in the Agreement.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adapted from 31 U.S.C. Sec.6305 Using Cooperative Agreements</w:t>
      </w:r>
      <w:r>
        <w:rPr>
          <w:rFonts w:ascii="Times New Roman" w:hAnsi="Times New Roman" w:cs="Times New Roman"/>
          <w:sz w:val="16"/>
          <w:szCs w:val="16"/>
        </w:rPr>
        <w:t>.</w:t>
      </w:r>
      <w:r>
        <w:rPr>
          <w:rFonts w:ascii="Times New Roman" w:hAnsi="Times New Roman" w:cs="Times New Roman"/>
          <w:i/>
          <w:iCs/>
          <w:sz w:val="16"/>
          <w:szCs w:val="16"/>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Create wetlands</w:t>
      </w:r>
      <w:r>
        <w:rPr>
          <w:rFonts w:ascii="Times New Roman" w:hAnsi="Times New Roman" w:cs="Times New Roman"/>
          <w:sz w:val="20"/>
          <w:szCs w:val="20"/>
        </w:rPr>
        <w:t xml:space="preserve"> means to manipulate the physical, chemical, or biological characteristics present to support and maintain a wetland that did not previously exist on the site.  Establishment results in a gain in wetland acres.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adapted from the definition of “Wetland establishment” in the U.S. Fish and Wildlife Service FY 2003 Annual Performance Plan/ FY 2001 Annual Performance Report.</w:t>
      </w:r>
      <w:r>
        <w:rPr>
          <w:rFonts w:ascii="Times New Roman" w:hAnsi="Times New Roman" w:cs="Times New Roman"/>
          <w:sz w:val="20"/>
          <w:szCs w:val="20"/>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lastRenderedPageBreak/>
        <w:t>Deed</w:t>
      </w:r>
      <w:r>
        <w:rPr>
          <w:rFonts w:ascii="Times New Roman" w:hAnsi="Times New Roman" w:cs="Times New Roman"/>
          <w:sz w:val="20"/>
          <w:szCs w:val="20"/>
        </w:rPr>
        <w:t xml:space="preserve"> means a written instrument by which a property owner as “grantor” conveys and transfers to a “grantee” an ownership interest in real property.  There are many types of deeds with the major difference being the type of covenant made by the grantor.  Perhaps the most commonly used deed is the general warranty deed.  To be valid, a deed must contain the following elements: (a) grantor; (b) grantee; ©) a consideration (this distinguishes a contractual obligation from a gift and is usually something of value such as the actual purchase price although it may also be a nominal amount as in “for $10 and other good and valuable consideration.”); (d) words of conveyance; (e) legal description; (f) signature; and (g) delivery of the deed (but under the Torrens system that has been adopted by about 10 States, it is the registration of the deed and not the act of delivery that conveys title).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Definition is adapted from the definition “deed”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Direct Costs</w:t>
      </w:r>
      <w:r>
        <w:rPr>
          <w:rFonts w:ascii="Times New Roman" w:hAnsi="Times New Roman" w:cs="Times New Roman"/>
          <w:sz w:val="20"/>
          <w:szCs w:val="20"/>
        </w:rPr>
        <w:t xml:space="preserve"> means those costs that can be identified specifically with a particular final cost objective, i.e., a particular award, project, service, or other direct activity of an organization.</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from Cost Principles for Nonprofit Organizations (OMB Circular A-122, Attachment A, Section B.1.)</w:t>
      </w:r>
      <w:r>
        <w:rPr>
          <w:rFonts w:ascii="Times New Roman" w:hAnsi="Times New Roman" w:cs="Times New Roman"/>
          <w:i/>
          <w:iCs/>
          <w:sz w:val="20"/>
          <w:szCs w:val="20"/>
        </w:rPr>
        <w: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Due diligence period</w:t>
      </w:r>
      <w:r>
        <w:rPr>
          <w:rFonts w:ascii="Times New Roman" w:hAnsi="Times New Roman" w:cs="Times New Roman"/>
          <w:sz w:val="20"/>
          <w:szCs w:val="20"/>
        </w:rPr>
        <w:t xml:space="preserve"> means the time period in which a buyer is given the opportunity to have experts inspect real property, examine the title or review a lease to determine whether the property matches the buyer’s needs.  If the buyer finds objectionable conditions, he or she typically has the right to withdraw from the purchase prior to expiration of the due diligence period.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the third definition provided under“due diligence”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Eligible cost</w:t>
      </w:r>
      <w:r>
        <w:rPr>
          <w:rFonts w:ascii="Times New Roman" w:hAnsi="Times New Roman" w:cs="Times New Roman"/>
          <w:sz w:val="20"/>
          <w:szCs w:val="20"/>
        </w:rPr>
        <w:t xml:space="preserve"> means a cost that can be reimbursed with Federal grant and/or matching funds or accepted as a matching in-kind contribution as a result of policy established by the North American Wetlands Conservation Council.  See </w:t>
      </w:r>
      <w:r>
        <w:rPr>
          <w:rStyle w:val="Hypertext"/>
          <w:rFonts w:ascii="Times New Roman" w:hAnsi="Times New Roman" w:cs="Times New Roman"/>
          <w:color w:val="000000"/>
          <w:sz w:val="20"/>
          <w:szCs w:val="20"/>
        </w:rPr>
        <w:t>http://birdhabitat.fws.gov//NAWCA/Cost%20Principles.pdf)</w:t>
      </w:r>
      <w:r>
        <w:rPr>
          <w:rFonts w:ascii="Times New Roman" w:hAnsi="Times New Roman" w:cs="Times New Roman"/>
          <w:sz w:val="20"/>
          <w:szCs w:val="20"/>
        </w:rPr>
        <w:t xml:space="preserve"> for a list of eligible costs under NAWCA grants. </w:t>
      </w:r>
    </w:p>
    <w:p w:rsidR="001F0636" w:rsidRDefault="001F0636">
      <w:pPr>
        <w:tabs>
          <w:tab w:val="left" w:pos="-480"/>
          <w:tab w:val="left" w:pos="0"/>
          <w:tab w:val="left" w:pos="360"/>
          <w:tab w:val="left" w:pos="630"/>
        </w:tabs>
        <w:ind w:firstLine="360"/>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Sakkal Majalla" w:hAnsi="Sakkal Majalla" w:cs="Sakkal Majalla"/>
          <w:b/>
          <w:bCs/>
          <w:i/>
          <w:iCs/>
          <w:sz w:val="20"/>
          <w:szCs w:val="20"/>
        </w:rPr>
        <w:t>Encumber</w:t>
      </w:r>
      <w:r>
        <w:rPr>
          <w:rFonts w:ascii="Sakkal Majalla" w:hAnsi="Sakkal Majalla" w:cs="Sakkal Majalla"/>
          <w:sz w:val="20"/>
          <w:szCs w:val="20"/>
        </w:rPr>
        <w:t xml:space="preserve"> real property means to attach a claim, liability, or some other right to real property and make it binding on the same.  An encumbrance may burden or lessen the value of the real property or obstruct or impair its use.  It does not necessarily prevent transfer of title.  There are two general classifications of encumbrances: those that affect the title, such as judgments, mortgages, mechanic’s liens and other liens, which are charges on property used to secure a debt or obligation; and those that affect the physical condition of the property, such as restrictions, encroachments, and easements.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adapted from the definition of “encumbrance”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Enhance</w:t>
      </w:r>
      <w:r>
        <w:rPr>
          <w:rFonts w:ascii="Times New Roman" w:hAnsi="Times New Roman" w:cs="Times New Roman"/>
          <w:sz w:val="20"/>
          <w:szCs w:val="20"/>
        </w:rPr>
        <w:t xml:space="preserve"> habitat means improve it through alteration, treatment, or other land management of existing habitat to increase habitat value for one or more species without bringing it to a fully restored or naturally occurring condition.</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an adaptation of the definition of “Habitat Enhancement” in the U.S. Fish and Wildlife Service FY 2003 Annual Performance Plan/ FY 2001 Annual Performance Report.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Equipment</w:t>
      </w:r>
      <w:r>
        <w:rPr>
          <w:rFonts w:ascii="Times New Roman" w:hAnsi="Times New Roman" w:cs="Times New Roman"/>
          <w:b/>
          <w:bCs/>
          <w:sz w:val="20"/>
          <w:szCs w:val="20"/>
        </w:rPr>
        <w:t xml:space="preserve"> </w:t>
      </w:r>
      <w:r>
        <w:rPr>
          <w:rFonts w:ascii="Times New Roman" w:hAnsi="Times New Roman" w:cs="Times New Roman"/>
          <w:sz w:val="20"/>
          <w:szCs w:val="20"/>
        </w:rPr>
        <w:t xml:space="preserve">means tangible non-expendable personal property, including exempt property charged directly to the award, having a useful life of more than one year and an acquisition cost of $5,000 or more per unit.  However, consistent with recipient policy, lower limits may be established.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the definition of “Equipment” at 43 CFR 12. 902.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Facilities and Administrative Costs</w:t>
      </w:r>
      <w:r>
        <w:rPr>
          <w:rFonts w:ascii="Times New Roman" w:hAnsi="Times New Roman" w:cs="Times New Roman"/>
          <w:sz w:val="20"/>
          <w:szCs w:val="20"/>
        </w:rPr>
        <w:t xml:space="preserve"> means those costs of an institution of higher education that are incurred for common or joint objectives and therefore cannot be identified readily and specifically with a sponsored project, an instructional activity, or any other institutional activity.</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 xml:space="preserve">COMMENTARY: This definition is from Cost Principles for Educational Institutions (OMB Circular A-21, Section E.1.).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Federal assistance</w:t>
      </w:r>
      <w:r>
        <w:rPr>
          <w:rFonts w:ascii="Times New Roman" w:hAnsi="Times New Roman" w:cs="Times New Roman"/>
          <w:sz w:val="20"/>
          <w:szCs w:val="20"/>
        </w:rPr>
        <w:t xml:space="preserve"> is when the United States government transfers funds or something of value to carry out a public purpose of support or stimulation authorized by a law of the United States instead of acquiring by purchase, lease, or barter property or services for the direct benefit or use of the United States government.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COMMENTARY: This definition is adapted from Sections 3 and 6 of Public Law 95-224, The Federal Grant and Cooperative Agreement Act of 1977.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 xml:space="preserve">A </w:t>
      </w:r>
      <w:r>
        <w:rPr>
          <w:rFonts w:ascii="Times New Roman" w:hAnsi="Times New Roman" w:cs="Times New Roman"/>
          <w:b/>
          <w:bCs/>
          <w:i/>
          <w:iCs/>
          <w:sz w:val="20"/>
          <w:szCs w:val="20"/>
        </w:rPr>
        <w:t>federally recognized Indian Tribal government</w:t>
      </w:r>
      <w:r>
        <w:rPr>
          <w:rFonts w:ascii="Times New Roman" w:hAnsi="Times New Roman" w:cs="Times New Roman"/>
          <w:sz w:val="20"/>
          <w:szCs w:val="20"/>
        </w:rPr>
        <w:t xml:space="preserve"> means the governing body or a governmental agency of any Indian Tribe, band, nation, or other recognized group or community (including any Native village as defined in section 3 of the Alaska Native Claims Settlement Act, 85 Stat 688) certified by the Secretary of the Interior as eligible for the special programs and services provided by him or her through the Bureau of Indian Affairs.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lastRenderedPageBreak/>
        <w:t>COMMENTARY: This definition is adapted from the definition of “federally recognized Indian Tribal government” at 43 CFR 12.43.</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Funding period</w:t>
      </w:r>
      <w:r>
        <w:rPr>
          <w:rFonts w:ascii="Times New Roman" w:hAnsi="Times New Roman" w:cs="Times New Roman"/>
          <w:sz w:val="20"/>
          <w:szCs w:val="20"/>
        </w:rPr>
        <w:t xml:space="preserve"> means the period of time established in the grant or cooperative agreement when Federal funding is available for </w:t>
      </w:r>
      <w:r>
        <w:rPr>
          <w:rFonts w:ascii="Times New Roman" w:hAnsi="Times New Roman" w:cs="Times New Roman"/>
          <w:sz w:val="20"/>
          <w:szCs w:val="20"/>
        </w:rPr>
        <w:lastRenderedPageBreak/>
        <w:t>obligation by the recipient.  The funding period begins on the first day during which the recipient may request an advance of funds or a reimbursement.  It ends on the last day that the recipient may incur costs for the project. The funding period is also called the “project period” and the “period of performance” although the latter is more appropriate for a “contract”.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an elaboration of the basic definition of funding period in 43 CFR 12.902..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Government</w:t>
      </w:r>
      <w:r>
        <w:rPr>
          <w:rFonts w:ascii="Times New Roman" w:hAnsi="Times New Roman" w:cs="Times New Roman"/>
          <w:sz w:val="20"/>
          <w:szCs w:val="20"/>
        </w:rPr>
        <w:t xml:space="preserve"> means the legal entity (or agencies or instrumentalities of the same) that exercises sovereign authority over: the 50 American States; the District of Columbia; the Commonwealth of Puerto Rico; the Commonwealth of the Northern Mariana Islands; the Territory of the Virgin Islands; the Territory of Guam; the Territory of American Samoa; and federally recognized Indian Tribes, bands, nations, or other organized groups or communities (including Native villages as defined in section 3 of the Alaska Native Claims Settlement Act, 85 Stat 688) certified by the Secretary of the Interior as eligible for the special programs and services provided by him or her through the Bureau of Indian Affairs.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an elaboration of the definitions of “Government” and “Federally recognized Indian Tribal government.”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Grant agreement</w:t>
      </w:r>
      <w:r>
        <w:rPr>
          <w:rFonts w:ascii="Times New Roman" w:hAnsi="Times New Roman" w:cs="Times New Roman"/>
          <w:sz w:val="20"/>
          <w:szCs w:val="20"/>
        </w:rPr>
        <w:t xml:space="preserve"> means the legal instrument used to document a type of relationship between the USFWS and a Federal grant recipient. The principle purpose of the relationship is to transfer a thing of value to the recipient to carry out a public purpose of support or stimulation authorized by a law of the United States instead of acquiring (by purchase, lease, or barter) property or services for the direct benefit or use of the United States Government.  Substantial involvement is not expected between the USFWS and the recipient when carrying out the activity contemplated in the Agreement.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adapted from 31 U.S.C. Sec.6305 Using Cooperative Agreements</w:t>
      </w:r>
      <w:r>
        <w:rPr>
          <w:rFonts w:ascii="Times New Roman" w:hAnsi="Times New Roman" w:cs="Times New Roman"/>
          <w:sz w:val="16"/>
          <w:szCs w:val="16"/>
        </w:rPr>
        <w:t>.</w:t>
      </w:r>
      <w:r>
        <w:rPr>
          <w:rFonts w:ascii="Times New Roman" w:hAnsi="Times New Roman" w:cs="Times New Roman"/>
          <w:i/>
          <w:iCs/>
          <w:sz w:val="16"/>
          <w:szCs w:val="16"/>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Grant officer</w:t>
      </w:r>
      <w:r>
        <w:rPr>
          <w:rFonts w:ascii="Times New Roman" w:hAnsi="Times New Roman" w:cs="Times New Roman"/>
          <w:sz w:val="20"/>
          <w:szCs w:val="20"/>
        </w:rPr>
        <w:t xml:space="preserve"> means the USFWS official who will issue and sign grant agreements and cooperative agreements.  The grant officer will:   review the progress of the grant-funded project; approve or disapprove all requests for prior approval or concurrence; recommend reductions in the grant amount where appropriate; and perform the final review of the project prior to close-out.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Historic resources</w:t>
      </w:r>
      <w:r>
        <w:rPr>
          <w:rFonts w:ascii="Times New Roman" w:hAnsi="Times New Roman" w:cs="Times New Roman"/>
          <w:sz w:val="20"/>
          <w:szCs w:val="20"/>
        </w:rPr>
        <w:t xml:space="preserve"> means any prehistoric or historic district, site, building, structure, or object included in, or eligible for inclusion in, the National Register of Historic Places maintained by the Secretary of the Interior.  This term includes artifacts, records, and remains that are related to and located within such properties.  The term includes properties of traditional religious and cultural importance to an Indian Tribe or Native Hawaiian organization and that meet the National Register criteria.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the definition of “Historic property” at 36 CFR 800.16.</w:t>
      </w:r>
      <w:r>
        <w:rPr>
          <w:rFonts w:ascii="Times New Roman" w:hAnsi="Times New Roman" w:cs="Times New Roman"/>
          <w:i/>
          <w:iCs/>
          <w:sz w:val="20"/>
          <w:szCs w:val="20"/>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Incurred costs</w:t>
      </w:r>
      <w:r>
        <w:rPr>
          <w:rFonts w:ascii="Times New Roman" w:hAnsi="Times New Roman" w:cs="Times New Roman"/>
          <w:sz w:val="20"/>
          <w:szCs w:val="20"/>
        </w:rPr>
        <w:t xml:space="preserve"> means those costs for which an obligation to pay commences on: (a) the earlier of placing an order, signing a contract, or performing or receiving a service; or (b) (in the case of real property) the earlier of (I) taking title to real property or (ii) the buyer becoming legally obligated to purchase real property with all contingencies placed on the buyer’s obligations having been satisfied.  Purchase agreements and other instruments of contractual obligation to purchase real property in the future will hereafter be referred to as a </w:t>
      </w:r>
      <w:r>
        <w:rPr>
          <w:rFonts w:ascii="Times New Roman" w:hAnsi="Times New Roman" w:cs="Times New Roman"/>
          <w:b/>
          <w:bCs/>
          <w:i/>
          <w:iCs/>
          <w:sz w:val="20"/>
          <w:szCs w:val="20"/>
        </w:rPr>
        <w:t>purchase agreement</w:t>
      </w:r>
      <w:r>
        <w:rPr>
          <w:rFonts w:ascii="Times New Roman" w:hAnsi="Times New Roman" w:cs="Times New Roman"/>
          <w:sz w:val="20"/>
          <w:szCs w:val="20"/>
        </w:rPr>
        <w:t>.  Purchase may provide for periods of due diligence during which the buyer may withdraw from the contractual obligation if he or she finds any of the specified objectionable conditions, but the costs are incurred on the date that all parties sign the purchase agreement, not at the end of the period of due diligence.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 xml:space="preserve">This definition is based on the definition of “Accrued expenditures” and “Obligations” in 43 CFR 12.43 and 43 CFR 12.902.  It also takes note of the memo dated August 22, 2000, from Juanita Williams, Chief of the USFWS Division of Contracting and General Services, to the Chief of the Division of North American Waterfowl and Wetlands.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Indirect Costs</w:t>
      </w:r>
      <w:r>
        <w:rPr>
          <w:rFonts w:ascii="Times New Roman" w:hAnsi="Times New Roman" w:cs="Times New Roman"/>
          <w:sz w:val="20"/>
          <w:szCs w:val="20"/>
        </w:rPr>
        <w:t xml:space="preserve"> means those costs of a nonprofit organization, or a State, Local, or Indian Tribal Government, that have been incurred for common or joint objectives and cannot readily be identified with a particular final cost objective without effort disproportionate to the results achieved.  Indirect costs include all costs determined, allocated, or distributed in accordance with the methods authorized for indirect costs in the Federal Cost Principles.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Indirect costs do not include costs allocated under government-wide central service cost allocation plans and billed services provided by a governmental recipient.  Indirect costs also do not include direct costs described as “administrative”, “overhead”, or the like, that have been itemized by unit of measure, source of funds, and application to a service performed or to property acquired specifically for the project.</w:t>
      </w: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lastRenderedPageBreak/>
        <w:t xml:space="preserve">COMMENTARY: This definition is based on the definition of indirect costs in Cost Principles for Nonprofit Organizations (OMB Circular A-122, Attachment A, Section C.1.) and the description of the methods of determining, allocating, or distributing such costs in the same publication (Section D).  It is also based on the definition of indirect costs in Cost Principles for State, Local, and Indian Tribal Governments (OMB Circular A-87, Attachment E, Section A.1) and the description of the methods of determining, allocating, or distributing such costs in the same publication (OMB Circular A-87, Attachment E, Section C).  Government-wide central service cost allocation plans and billed services provided by a governmental recipient are described in Cost Principles for State, Local, and Indian Tribal Governments (OMB </w:t>
      </w:r>
      <w:r>
        <w:rPr>
          <w:rFonts w:ascii="Times New Roman" w:hAnsi="Times New Roman" w:cs="Times New Roman"/>
          <w:i/>
          <w:iCs/>
          <w:sz w:val="16"/>
          <w:szCs w:val="16"/>
        </w:rPr>
        <w:lastRenderedPageBreak/>
        <w:t xml:space="preserve">Circular A-87, Attachment C).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Initiation of Negotiations</w:t>
      </w:r>
      <w:r>
        <w:rPr>
          <w:rFonts w:ascii="Times New Roman" w:hAnsi="Times New Roman" w:cs="Times New Roman"/>
          <w:sz w:val="20"/>
          <w:szCs w:val="20"/>
        </w:rPr>
        <w:t xml:space="preserve"> means the following:</w:t>
      </w: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 xml:space="preserve">(a) Whenever the displacement results from the acquisition of the real property by a Federal agency or State agency, the </w:t>
      </w:r>
      <w:r>
        <w:rPr>
          <w:rFonts w:ascii="Times New Roman" w:hAnsi="Times New Roman" w:cs="Times New Roman"/>
          <w:i/>
          <w:iCs/>
          <w:sz w:val="20"/>
          <w:szCs w:val="20"/>
        </w:rPr>
        <w:t xml:space="preserve">initiation of negotiations </w:t>
      </w:r>
      <w:r>
        <w:rPr>
          <w:rFonts w:ascii="Times New Roman" w:hAnsi="Times New Roman" w:cs="Times New Roman"/>
          <w:sz w:val="20"/>
          <w:szCs w:val="20"/>
        </w:rPr>
        <w:t>means the delivery of the initial written offer of just compensation by the Agency to the owner or the owner’s representative to purchase the real property for the project.  However, if the Federal agency or State agency issues a notice of its intent to acquire the real property, and a person moves after that notice, but before the delivery of the initial written purchase offer, the</w:t>
      </w:r>
      <w:r>
        <w:rPr>
          <w:rFonts w:ascii="Times New Roman" w:hAnsi="Times New Roman" w:cs="Times New Roman"/>
          <w:i/>
          <w:iCs/>
          <w:sz w:val="20"/>
          <w:szCs w:val="20"/>
        </w:rPr>
        <w:t xml:space="preserve"> initiation of negotiations </w:t>
      </w:r>
      <w:r>
        <w:rPr>
          <w:rFonts w:ascii="Times New Roman" w:hAnsi="Times New Roman" w:cs="Times New Roman"/>
          <w:sz w:val="20"/>
          <w:szCs w:val="20"/>
        </w:rPr>
        <w:t xml:space="preserve">means the actual move of the person from the property.   </w:t>
      </w: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 xml:space="preserve">(b) Whenever the displacement is caused by rehabilitation, demolition, or privately undertaken acquisition of the real property (and there is no related acquisition by a Federal agency or a State agency), the </w:t>
      </w:r>
      <w:r>
        <w:rPr>
          <w:rFonts w:ascii="Times New Roman" w:hAnsi="Times New Roman" w:cs="Times New Roman"/>
          <w:i/>
          <w:iCs/>
          <w:sz w:val="20"/>
          <w:szCs w:val="20"/>
        </w:rPr>
        <w:t xml:space="preserve">initiation of negotiations </w:t>
      </w:r>
      <w:r>
        <w:rPr>
          <w:rFonts w:ascii="Times New Roman" w:hAnsi="Times New Roman" w:cs="Times New Roman"/>
          <w:sz w:val="20"/>
          <w:szCs w:val="20"/>
        </w:rPr>
        <w:t>means the notice to the person that he or she will be displaced by the project or, if there is no notice, the actual move of the person from the property.</w:t>
      </w: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 xml:space="preserve">©) See 49 CFR 24.2 for the definition of </w:t>
      </w:r>
      <w:r>
        <w:rPr>
          <w:rFonts w:ascii="Times New Roman" w:hAnsi="Times New Roman" w:cs="Times New Roman"/>
          <w:i/>
          <w:iCs/>
          <w:sz w:val="20"/>
          <w:szCs w:val="20"/>
        </w:rPr>
        <w:t xml:space="preserve">initiation of negotiations </w:t>
      </w:r>
      <w:r>
        <w:rPr>
          <w:rFonts w:ascii="Times New Roman" w:hAnsi="Times New Roman" w:cs="Times New Roman"/>
          <w:sz w:val="20"/>
          <w:szCs w:val="20"/>
        </w:rPr>
        <w:t xml:space="preserve">if the relocation is occurring under the Comprehensive Environmental Response Compensation and Liability Act of 1980 (Public Law 96-510).    </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This definition is taken from 49 CFR 24.2.</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Ineligible cost</w:t>
      </w:r>
      <w:r>
        <w:rPr>
          <w:rFonts w:ascii="Times New Roman" w:hAnsi="Times New Roman" w:cs="Times New Roman"/>
          <w:sz w:val="20"/>
          <w:szCs w:val="20"/>
        </w:rPr>
        <w:t xml:space="preserve"> means a cost that cannot be reimbursed with Federal grant and/or matching funds or accepted as a matching in-kind contribution as a result of policy established by the North American Wetlands Conservation Council.  See </w:t>
      </w:r>
      <w:r>
        <w:rPr>
          <w:rStyle w:val="Hypertext"/>
          <w:rFonts w:ascii="Times New Roman" w:hAnsi="Times New Roman" w:cs="Times New Roman"/>
          <w:color w:val="000000"/>
          <w:sz w:val="20"/>
          <w:szCs w:val="20"/>
        </w:rPr>
        <w:t>http://birdhabitat.fws.gov//NAWCA/Cost%20Principles.pdf)</w:t>
      </w:r>
      <w:r>
        <w:rPr>
          <w:rFonts w:ascii="Times New Roman" w:hAnsi="Times New Roman" w:cs="Times New Roman"/>
          <w:sz w:val="20"/>
          <w:szCs w:val="20"/>
        </w:rPr>
        <w:t xml:space="preserve"> for a list of eligible costs under NAWCA grants, which specifically lists costs that are not included in the eligible costs and are thus ineligible.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Liquidate</w:t>
      </w:r>
      <w:r>
        <w:rPr>
          <w:rFonts w:ascii="Times New Roman" w:hAnsi="Times New Roman" w:cs="Times New Roman"/>
          <w:sz w:val="20"/>
          <w:szCs w:val="20"/>
        </w:rPr>
        <w:t xml:space="preserve"> means to settle a debt by payment or other settlement.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COMMENTARY: </w:t>
      </w:r>
      <w:r>
        <w:rPr>
          <w:rFonts w:ascii="Times New Roman" w:hAnsi="Times New Roman" w:cs="Times New Roman"/>
          <w:sz w:val="16"/>
          <w:szCs w:val="16"/>
        </w:rPr>
        <w:t>This definition is taken from Webster’s Ninth New Collegiate Dictionary.</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Matching cash contribution</w:t>
      </w:r>
      <w:r>
        <w:rPr>
          <w:rFonts w:ascii="Times New Roman" w:hAnsi="Times New Roman" w:cs="Times New Roman"/>
          <w:sz w:val="20"/>
          <w:szCs w:val="20"/>
        </w:rPr>
        <w:t xml:space="preserve"> means any cash that is donated for use as match to a project by the Recipient or by other public agencies or institutions, and private organizations and individuals under the terms of the grant or cooperative agreement.  No cash with a direct or indirect Federal origin, or that was received or used as match under other Federal assistance agreements, qualifies as a matching cash contribution unless authorized by Federal legislation.  A matching contribution described as cash, but expended for property or services for which the cost was incurred before USFWS receives the proposal, is considered a matching in-kind contribution.</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COMMENTARY: This definition is based on the definition of “Cash contributions” at 43 CFR 12.43 and 43 CFR 12.902.  It also draws from 43 CFR 12.64(a)(1), 43 CFR 12.64(b), 43 CFR 12.923(a)(2), and 43 CFR 12.923(5).  Prescribing the USFWS’s receipt of the proposal as the earliest time that matching cash can be obligated avoids any inconsistency with the policy on pre-agreement costs, which may not be incurred before USFWS receives the proposal.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 xml:space="preserve">Matching in-kind contribution </w:t>
      </w:r>
      <w:r>
        <w:rPr>
          <w:rFonts w:ascii="Times New Roman" w:hAnsi="Times New Roman" w:cs="Times New Roman"/>
          <w:sz w:val="20"/>
          <w:szCs w:val="20"/>
        </w:rPr>
        <w:t xml:space="preserve">means any property or service that is donated by a non-Federal entity under the terms of a grant or cooperative agreement.  The match provider gives the property or service without charge or for a nominal payment or something of nominal or no market value.  No property or service, or part thereof, funded by the Federal government or received or used as match under other Federal assistance agreements, qualifies as a matching in-kind contribution unless authorized by Federal law.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20"/>
          <w:szCs w:val="20"/>
        </w:rPr>
      </w:pPr>
      <w:r>
        <w:rPr>
          <w:rFonts w:ascii="Times New Roman" w:hAnsi="Times New Roman" w:cs="Times New Roman"/>
          <w:i/>
          <w:iCs/>
          <w:sz w:val="16"/>
          <w:szCs w:val="16"/>
        </w:rPr>
        <w:t xml:space="preserve">COMMENTARY: This definition is based on the definition of “third party in-kind contributions” at 43 CFR 12.43 and 43 CFR 12.902 and the provisions on matching or cost sharing at 43 CFR 12.64 and 43 CFR 12.923.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NAWCA</w:t>
      </w:r>
      <w:r>
        <w:rPr>
          <w:rFonts w:ascii="Times New Roman" w:hAnsi="Times New Roman" w:cs="Times New Roman"/>
          <w:sz w:val="20"/>
          <w:szCs w:val="20"/>
        </w:rPr>
        <w:t xml:space="preserve"> means the North American Wetlands Conservation Act (16 U.S.C. 4401 </w:t>
      </w:r>
      <w:r>
        <w:rPr>
          <w:rFonts w:ascii="Times New Roman" w:hAnsi="Times New Roman" w:cs="Times New Roman"/>
          <w:i/>
          <w:iCs/>
          <w:sz w:val="20"/>
          <w:szCs w:val="20"/>
        </w:rPr>
        <w:t>et seq.</w:t>
      </w:r>
      <w:r>
        <w:rPr>
          <w:rFonts w:ascii="Times New Roman" w:hAnsi="Times New Roman" w:cs="Times New Roman"/>
          <w:sz w:val="20"/>
          <w:szCs w:val="20"/>
        </w:rPr>
        <w:t xml:space="preserve">; Public Law 101-233, December 13, 1989), and amendments thereto, as clarified by the Department of the Interior and Related Agencies Appropriations Act of 1992 (105 Stat. 995; 31 U.S.C. Sec. 6305 </w:t>
      </w:r>
      <w:r>
        <w:rPr>
          <w:rFonts w:ascii="Times New Roman" w:hAnsi="Times New Roman" w:cs="Times New Roman"/>
          <w:i/>
          <w:iCs/>
          <w:sz w:val="20"/>
          <w:szCs w:val="20"/>
        </w:rPr>
        <w:t>Notes</w:t>
      </w:r>
      <w:r>
        <w:rPr>
          <w:rFonts w:ascii="Times New Roman" w:hAnsi="Times New Roman" w:cs="Times New Roman"/>
          <w:sz w:val="20"/>
          <w:szCs w:val="20"/>
        </w:rPr>
        <w:t>; Public Law 102-154, Title I, November 13, 1991).</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 xml:space="preserve">Notice of Property Restriction </w:t>
      </w:r>
      <w:r>
        <w:rPr>
          <w:rFonts w:ascii="Times New Roman" w:hAnsi="Times New Roman" w:cs="Times New Roman"/>
          <w:sz w:val="20"/>
          <w:szCs w:val="20"/>
        </w:rPr>
        <w:t xml:space="preserve">means a written instrument that is recorded in the county recorder’s office, which may also be called the registrar of deeds office, the commissioner of deeds office, the county registrar’s office, or the bureau of conveyances.  The Notice of Property Restriction.  The Notice of Property Restriction states the purpose of the NAWCA-funded project of which the real property is a part and it serves as notice to anyone doing a title search that any sale or encumbrance of the referenced property rights must be approved by the USFWS.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lastRenderedPageBreak/>
        <w:t xml:space="preserve">COMMENTARY: </w:t>
      </w:r>
      <w:r>
        <w:rPr>
          <w:rFonts w:ascii="Times New Roman" w:hAnsi="Times New Roman" w:cs="Times New Roman"/>
          <w:sz w:val="16"/>
          <w:szCs w:val="16"/>
        </w:rPr>
        <w:t xml:space="preserve">A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Policy requires that the grant officer receive a copy of documents related to acquisition of real property.   </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sz w:val="16"/>
          <w:szCs w:val="16"/>
        </w:rPr>
        <w:t>A notice of record is authorized for real property acquired with Federal funds by institutions of higher education, hospitals, and other nonprofit organizations at 43 CFR 12.937.</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sz w:val="16"/>
          <w:szCs w:val="16"/>
        </w:rPr>
        <w:t>Under the closeout procedures in 43 CFR 12.971(g), the recipient must account for any real  property acquired with Federal funds in accordance with 43 CFR 12.931 through 43 CFR 12.937.  Since the Notices of Grant Agreement are filed chronologically and cross referenced to deeds, there is no need to have a separate Notice of Property Restriction for every interest in real property acquired under the NAWCA project.  Therefore, for each  jurisdiction’s recorder’s office, one Notice of Property Restriction cross referencing each interest acquired in that jurisdiction will suffice.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rPr>
      </w:pPr>
      <w:r>
        <w:rPr>
          <w:rFonts w:ascii="Times New Roman" w:hAnsi="Times New Roman" w:cs="Times New Roman"/>
          <w:b/>
          <w:bCs/>
          <w:i/>
          <w:iCs/>
          <w:sz w:val="20"/>
          <w:szCs w:val="20"/>
        </w:rPr>
        <w:t>Obligate</w:t>
      </w:r>
      <w:r>
        <w:rPr>
          <w:rFonts w:ascii="Times New Roman" w:hAnsi="Times New Roman" w:cs="Times New Roman"/>
          <w:i/>
          <w:iCs/>
          <w:sz w:val="20"/>
          <w:szCs w:val="20"/>
        </w:rPr>
        <w:t xml:space="preserve"> </w:t>
      </w:r>
      <w:r>
        <w:rPr>
          <w:rFonts w:ascii="Times New Roman" w:hAnsi="Times New Roman" w:cs="Times New Roman"/>
          <w:sz w:val="20"/>
          <w:szCs w:val="20"/>
        </w:rPr>
        <w:t>funds means place an order, award a contract, award a grant, receive a service, or make a similar transaction during a given period that will require payment during the same or a  future period.</w:t>
      </w:r>
    </w:p>
    <w:p w:rsidR="001F0636" w:rsidRDefault="001F0636">
      <w:pPr>
        <w:tabs>
          <w:tab w:val="left" w:pos="-480"/>
          <w:tab w:val="left" w:pos="0"/>
          <w:tab w:val="left" w:pos="360"/>
          <w:tab w:val="left" w:pos="630"/>
        </w:tabs>
        <w:rPr>
          <w:rFonts w:ascii="Times New Roman" w:hAnsi="Times New Roman" w:cs="Times New Roman"/>
          <w:i/>
          <w:iCs/>
          <w:sz w:val="20"/>
          <w:szCs w:val="20"/>
        </w:rPr>
      </w:pPr>
    </w:p>
    <w:p w:rsidR="001F0636" w:rsidRDefault="001F0636">
      <w:pPr>
        <w:tabs>
          <w:tab w:val="left" w:pos="-480"/>
          <w:tab w:val="left" w:pos="0"/>
          <w:tab w:val="left" w:pos="360"/>
          <w:tab w:val="left" w:pos="630"/>
        </w:tabs>
        <w:ind w:left="360"/>
        <w:rPr>
          <w:rFonts w:ascii="Times New Roman" w:hAnsi="Times New Roman" w:cs="Times New Roman"/>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based on the definition of “Obligations” at 43 CFR 12.43 and 43 CFR 12.902.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Option</w:t>
      </w:r>
      <w:r>
        <w:rPr>
          <w:rFonts w:ascii="Times New Roman" w:hAnsi="Times New Roman" w:cs="Times New Roman"/>
          <w:sz w:val="20"/>
          <w:szCs w:val="20"/>
        </w:rPr>
        <w:t xml:space="preserve"> means an agreement to keep open, for a set period, an offer to sell or lease real property.  An option can be used to give the buyer time to resolve questions of financing before committing the buyer to purchase.  An option merely creates a contractual right.  It does not give the option holder any estate in the property.  At the time the option is signed, the owner does not sell, nor does the buyer purchase the property.  Although the owner is obligated to sell if given notice by the buyer, the buyer is not obligated to purchase.  An option must contain all of the essential terms of the underlying contract of sale.  This means that a binding contract is created immediately upon the option holder’s decision to exercise the option.  </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adapted from the definition of “option”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Other authorized title holder</w:t>
      </w:r>
      <w:r>
        <w:rPr>
          <w:rFonts w:ascii="Times New Roman" w:hAnsi="Times New Roman" w:cs="Times New Roman"/>
          <w:sz w:val="20"/>
          <w:szCs w:val="20"/>
        </w:rPr>
        <w:t xml:space="preserve"> means any entity that holds an interest in real property acquired with grant or matching funds or as a matching in-kind contribution, but is not necessarily a “recipient” or “subrecipient.”  One example of an “other authorized title holder” is a nonprofit organization that buys land and commits it as match for a NAWCA project, but retains ownership and continues to administer the land for the purposes of the project.  Another example would be a nonprofit organization that received title to land acquired under a grant as a USFWS transfer five years after the funding period.</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was developed by the NAWCA Grants program to refer to a category of landowners who hold title to land acquired in a NAWCA grant and are responsible for using it for the authorized purpose of the NAWCA project unless they receive permission from USFWS to do otherwise.</w:t>
      </w:r>
      <w:r>
        <w:rPr>
          <w:rFonts w:ascii="Times New Roman" w:hAnsi="Times New Roman" w:cs="Times New Roman"/>
          <w:sz w:val="20"/>
          <w:szCs w:val="20"/>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Passthrough funds</w:t>
      </w:r>
      <w:r>
        <w:rPr>
          <w:rFonts w:ascii="Times New Roman" w:hAnsi="Times New Roman" w:cs="Times New Roman"/>
          <w:sz w:val="20"/>
          <w:szCs w:val="20"/>
        </w:rPr>
        <w:t xml:space="preserve"> means those funds in a Federal award that a recipient provides to a subrecipient to carry out a federally assisted project.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adapted from the definition of “Pass-through entity” in “Audits of States, Local Governments, and Non-Profit Organizations” (OMB Circular A-133, §___.133.</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Policy</w:t>
      </w:r>
      <w:r>
        <w:rPr>
          <w:rFonts w:ascii="Times New Roman" w:hAnsi="Times New Roman" w:cs="Times New Roman"/>
          <w:sz w:val="20"/>
          <w:szCs w:val="20"/>
        </w:rPr>
        <w:t xml:space="preserve"> means the NAWCA Policy for Administration of Federally Assisted Projects in the United States of America.</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Pre-agreement costs</w:t>
      </w:r>
      <w:r>
        <w:rPr>
          <w:rFonts w:ascii="Times New Roman" w:hAnsi="Times New Roman" w:cs="Times New Roman"/>
          <w:sz w:val="20"/>
          <w:szCs w:val="20"/>
        </w:rPr>
        <w:t xml:space="preserve"> means those proposed project costs, to be funded by Federal grant and matching funds, that are incurred after USFWS receives the proposal and before it signs the grant or cooperative agreement.  Such costs are allowable only to the extent that they would have been allowable if incurred during the funding period.  This term is synonymous with “pre-award costs”.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based on the definitions of “pre-award costs” or “pre-agreement costs” in Cost Principles for State, Local, and Indian Tribal Governments (OMB Circular A-87, Attachment B, Section 31), Cost Principles for Non-Profit Organizations (OMB Circular A-122, Attachment B, Section 36), and Cost Principles for Educational Institutions (OMB Circular A-21, Section J.36).</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Program income</w:t>
      </w:r>
      <w:r>
        <w:rPr>
          <w:rFonts w:ascii="Times New Roman" w:hAnsi="Times New Roman" w:cs="Times New Roman"/>
          <w:sz w:val="20"/>
          <w:szCs w:val="20"/>
        </w:rPr>
        <w:t xml:space="preserve"> means gross income earned by the recipient or subrecipient that is directly generated as a result of the grant or cooperative agreement or earned by the recipient or subrecipient as a result of the grant or cooperative agreement.  Program income may be generated by both the federally funded and match-funded portions of the award provided that it is generated after the beginning of the funding period.  Program income includes but is not limited to: income from recreational or other fees; income from the use, rental, or lease of any real or personal property; the sale of timber, firewood, hay, seed, wild rice, agricultural production, and other commodities; and the sale of specific quantities (but not the real property interests therein) of water, earth, gravel, oil, gas, and minerals; and the use or rental of personal or real property acquired under the grant or cooperative agreement.  </w:t>
      </w:r>
      <w:r>
        <w:rPr>
          <w:rFonts w:ascii="Times New Roman" w:hAnsi="Times New Roman" w:cs="Times New Roman"/>
          <w:b/>
          <w:bCs/>
          <w:i/>
          <w:iCs/>
          <w:sz w:val="20"/>
          <w:szCs w:val="20"/>
        </w:rPr>
        <w:t>Net program income</w:t>
      </w:r>
      <w:r>
        <w:rPr>
          <w:rFonts w:ascii="Times New Roman" w:hAnsi="Times New Roman" w:cs="Times New Roman"/>
          <w:sz w:val="20"/>
          <w:szCs w:val="20"/>
        </w:rPr>
        <w:t xml:space="preserve"> is program income less the costs incident to the generation of the program income, provided these costs have not been: (a) charged to the Federal funds in the award; (b) charged to a matching cash contribution; or ©) provided as a matching in-kind contribution.  </w:t>
      </w:r>
    </w:p>
    <w:p w:rsidR="001F0636" w:rsidRDefault="001F0636">
      <w:pPr>
        <w:tabs>
          <w:tab w:val="left" w:pos="-480"/>
          <w:tab w:val="left" w:pos="0"/>
          <w:tab w:val="left" w:pos="360"/>
          <w:tab w:val="left" w:pos="630"/>
        </w:tabs>
        <w:ind w:firstLine="360"/>
        <w:rPr>
          <w:rFonts w:ascii="Times New Roman" w:hAnsi="Times New Roman" w:cs="Times New Roman"/>
          <w:sz w:val="20"/>
          <w:szCs w:val="20"/>
        </w:rPr>
      </w:pPr>
    </w:p>
    <w:p w:rsidR="001F0636" w:rsidRDefault="001F0636">
      <w:pPr>
        <w:tabs>
          <w:tab w:val="left" w:pos="-480"/>
          <w:tab w:val="left" w:pos="0"/>
          <w:tab w:val="left" w:pos="360"/>
          <w:tab w:val="left" w:pos="630"/>
        </w:tabs>
        <w:ind w:firstLine="36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lastRenderedPageBreak/>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based on the definition of “Program income” at 43 CFR 12.902 and the provisions of  43 CFR 12.65 for States, Tribes, and local governments and 43  CFR 12.924 for institutions of higher education, hospitals, and other nonprofit organizations.</w:t>
      </w:r>
    </w:p>
    <w:p w:rsidR="001F0636" w:rsidRDefault="001F0636">
      <w:pPr>
        <w:tabs>
          <w:tab w:val="left" w:pos="-480"/>
          <w:tab w:val="left" w:pos="0"/>
          <w:tab w:val="left" w:pos="360"/>
          <w:tab w:val="left" w:pos="630"/>
        </w:tabs>
        <w:rPr>
          <w:rFonts w:ascii="Times New Roman" w:hAnsi="Times New Roman" w:cs="Times New Roman"/>
          <w:i/>
          <w:iCs/>
          <w:sz w:val="16"/>
          <w:szCs w:val="16"/>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 xml:space="preserve">The starting date for generating program income is the beginning of the funding period.  In contrast, pre-agreement costs may be incurred immediately after USFWS receives the project proposal, and matching in-kind contributions may be acquired two years back from the first day of the year in which USFWS receives the proposal.  Revenue generated during the pre-agreement period from pre-agreement costs or pre-agreement match is not counted as program income because a grant does not </w:t>
      </w:r>
      <w:r>
        <w:rPr>
          <w:rFonts w:ascii="Times New Roman" w:hAnsi="Times New Roman" w:cs="Times New Roman"/>
          <w:i/>
          <w:iCs/>
          <w:sz w:val="16"/>
          <w:szCs w:val="16"/>
        </w:rPr>
        <w:lastRenderedPageBreak/>
        <w:t>exist until the award is issued.  Perhaps the NAWCA Grants Program could count such pre-agreement revenue as program income as a policy decision due to the lack of specificity of the applicable regulations, but it declines to do so in recognition of: (a)  the risk that the applicant assumes in incurring costs before the award; (b) the practical difficulties caused by the potentially lengthy period of uncertainty over the ultimate disposition of program income while a grant proposal is awaiting a decision on selection.</w:t>
      </w:r>
    </w:p>
    <w:p w:rsidR="001F0636" w:rsidRDefault="001F0636">
      <w:pPr>
        <w:tabs>
          <w:tab w:val="left" w:pos="-480"/>
          <w:tab w:val="left" w:pos="0"/>
          <w:tab w:val="left" w:pos="360"/>
          <w:tab w:val="left" w:pos="630"/>
        </w:tabs>
        <w:rPr>
          <w:rFonts w:ascii="Times New Roman" w:hAnsi="Times New Roman" w:cs="Times New Roman"/>
          <w:i/>
          <w:iCs/>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The definition is clarified by the Solicitor’s Opinion on “Timber Policy”, dated December 5, 2000, signed by Associate Solicitor Karen Sprecher Keating and Acting Associate Solicitor Pete Raynor, and addressed to Deputy Assistant Secretary Bob Lamb, Budget and Finance, as revised by a memorandum on the subject of “Revised Decision - Federal Aid Timber Sales”, dated March 15, 2001, signed by Acting Assistant Secretary Robert Lamb and addressed to USFWS Acting Director Marshall P Jones, Jr.  The revised decision held that “revenue generated by the sale of timber on Federal Aid land, harvested in accord with necessary wildlife management practices, should be treated as the sale of personal property (program income) during the grant period.”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43 CFR 12.65 and 43 CFR 12.924(g) authorize the awarding agency to deduct costs incident to the generation of program income form gross income to determine [net] program income, provided these costs have not been charged to the award.  Based on this authorization, the Policy authorizes the deduction of costs incident to the generation of program income from gross income to determine the net program income.  For access fees derived from wildlife/wildland-oriented recreation, costs incident to the generation of program income include “those </w:t>
      </w:r>
      <w:r>
        <w:rPr>
          <w:rFonts w:ascii="Times New Roman" w:hAnsi="Times New Roman" w:cs="Times New Roman"/>
          <w:i/>
          <w:iCs/>
          <w:sz w:val="16"/>
          <w:szCs w:val="16"/>
          <w:u w:val="single"/>
        </w:rPr>
        <w:t>necessary</w:t>
      </w:r>
      <w:r>
        <w:rPr>
          <w:rFonts w:ascii="Times New Roman" w:hAnsi="Times New Roman" w:cs="Times New Roman"/>
          <w:i/>
          <w:iCs/>
          <w:sz w:val="16"/>
          <w:szCs w:val="16"/>
        </w:rPr>
        <w:t xml:space="preserve"> to manage the property for the benefit of wildlife.”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Project</w:t>
      </w:r>
      <w:r>
        <w:rPr>
          <w:rFonts w:ascii="Times New Roman" w:hAnsi="Times New Roman" w:cs="Times New Roman"/>
          <w:sz w:val="20"/>
          <w:szCs w:val="20"/>
        </w:rPr>
        <w:t xml:space="preserve"> means a program of related undertakings necessary to fulfill a defined need that is consistent with the purposes of NAWCA and approved by the Migratory Bird Conservation Commission.</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based on the definition of “Project” in “Administrative Requirements, Federal Aid in Fish and Wildlife Restoration Acts”, at 50 CFR 80.1.</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Project costs</w:t>
      </w:r>
      <w:r>
        <w:rPr>
          <w:rFonts w:ascii="Times New Roman" w:hAnsi="Times New Roman" w:cs="Times New Roman"/>
          <w:sz w:val="20"/>
          <w:szCs w:val="20"/>
        </w:rPr>
        <w:t xml:space="preserve"> means the sum of: (a) all costs that are incurred by a recipient or subrecipient and payable from Federal grant or matching funds, and (b) the value of matching in-kind contributions.  All project costs must be allowable as set forth in the applicable cost principles and must contribute to the purpose of the project.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based on the definition of “Project Costs” at 43 CFR 12.902.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Project funds</w:t>
      </w:r>
      <w:r>
        <w:rPr>
          <w:rFonts w:ascii="Times New Roman" w:hAnsi="Times New Roman" w:cs="Times New Roman"/>
          <w:i/>
          <w:iCs/>
          <w:sz w:val="20"/>
          <w:szCs w:val="20"/>
        </w:rPr>
        <w:t xml:space="preserve"> </w:t>
      </w:r>
      <w:r>
        <w:rPr>
          <w:rFonts w:ascii="Times New Roman" w:hAnsi="Times New Roman" w:cs="Times New Roman"/>
          <w:sz w:val="20"/>
          <w:szCs w:val="20"/>
        </w:rPr>
        <w:t xml:space="preserve">means the Federal funds from the North American Wetlands Conservation Fund that were awarded to a recipient and all the  matching cash and matching in-kind contributions that were committed to the project and accepted as such by the North American Wetlands Conservation Council and the USFWS.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w:t>
      </w:r>
      <w:r>
        <w:rPr>
          <w:rFonts w:ascii="Times New Roman" w:hAnsi="Times New Roman" w:cs="Times New Roman"/>
          <w:sz w:val="16"/>
          <w:szCs w:val="16"/>
        </w:rPr>
        <w:t xml:space="preserve"> This definition is based on the provisions of NAWCA.</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Proposal</w:t>
      </w:r>
      <w:r>
        <w:rPr>
          <w:rFonts w:ascii="Times New Roman" w:hAnsi="Times New Roman" w:cs="Times New Roman"/>
          <w:sz w:val="20"/>
          <w:szCs w:val="20"/>
        </w:rPr>
        <w:t xml:space="preserve"> means all the documents that are submitted with, or pursuant to, a NAWCA grant application to the USFWS.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This definition was developed by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Purchase agreement</w:t>
      </w:r>
      <w:r>
        <w:rPr>
          <w:rFonts w:ascii="Times New Roman" w:hAnsi="Times New Roman" w:cs="Times New Roman"/>
          <w:sz w:val="20"/>
          <w:szCs w:val="20"/>
        </w:rPr>
        <w:t xml:space="preserve"> means a contract to convey real property for a certain price.  It serves as the vehicle to get to the deed, which finally conveys title.  It is a blueprint for the entire transaction.  Once the purchase agreement is signed, the remainder of the transaction is primarily mechanical.  (See definition of incurred costs above.)  A purchase agreement is also called a contract of sale, sales contract, deposit receipt, offer and acceptance, agreement of sale, offer to lease or purchase, and sale agreement.  An exercised option is tantamount to a purchase agreement.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of “contract of sale”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Real property</w:t>
      </w:r>
      <w:r>
        <w:rPr>
          <w:rFonts w:ascii="Times New Roman" w:hAnsi="Times New Roman" w:cs="Times New Roman"/>
          <w:sz w:val="20"/>
          <w:szCs w:val="20"/>
        </w:rPr>
        <w:t xml:space="preserve"> means an interest in land, including land improvements, structures, and appurtenances such as trees, grass, and other plants growing on the land except crops.  It does not include movable machinery and equipment.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 xml:space="preserve">COMMENTARY: This definition expands on the definition of “real property” at 43 CFR 12.43 and 43 CFR 12.902.  The exclusion of crops is taken from the definition of “real property” in The Language of Real Estate by John W. Reilly, published in 1993 by Real Estate Education Company/Chicago, a Division of Dearborn Financial Publishing, Inc.  The definition is clarified by the Solicitor’s Opinion on “Timber Policy”, dated December 5, 2000, signed by Associate Solicitor Karen Sprecher Keating and Acting Associate Solicitor Pete Raynor, and addressed to Deputy Assistant Secretary Bob Lamb, Budget and Finance, as revised by a memorandum on the subject of “Revised Decision - Federal Aid Timber Sales”, dated March 15, 2001, signed by Acting Assistant Secretary Robert Lamb and addressed to USFWS Acting Director Marshall P Jones, Jr.  The revised decision held that “revenue generated by the sale of timber on Federal Aid land, harvested in accord with necessary wildlife management practices, should be treated as the sale of personal property (program income) during the grant period.”  </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Recipient</w:t>
      </w:r>
      <w:r>
        <w:rPr>
          <w:rFonts w:ascii="Times New Roman" w:hAnsi="Times New Roman" w:cs="Times New Roman"/>
          <w:sz w:val="20"/>
          <w:szCs w:val="20"/>
        </w:rPr>
        <w:t xml:space="preserve"> means an entity that receives an award to carry out a project.  The recipient is the entire legal entity even if only a particular component of the entity is designated in the grant award document.</w:t>
      </w: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lastRenderedPageBreak/>
        <w:t>COMMENTARY:</w:t>
      </w:r>
      <w:r>
        <w:rPr>
          <w:rFonts w:ascii="Times New Roman" w:hAnsi="Times New Roman" w:cs="Times New Roman"/>
          <w:sz w:val="16"/>
          <w:szCs w:val="16"/>
        </w:rPr>
        <w:t xml:space="preserve"> </w:t>
      </w:r>
      <w:r>
        <w:rPr>
          <w:rFonts w:ascii="Times New Roman" w:hAnsi="Times New Roman" w:cs="Times New Roman"/>
          <w:i/>
          <w:iCs/>
          <w:sz w:val="16"/>
          <w:szCs w:val="16"/>
        </w:rPr>
        <w:t>This definition is based on the definition of “Recipient” at 43 CFR 12.902 and “Grantee” at 43 CFR 12.43.  Although Title 43, part 12, of the Code of Federal Regulations uses the term “grantee” for State, local, and Tribal governments and “recipient” for institutions of higher education, hospitals, and nonprofit organizations, this policy uses “recipient” for both terms.</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Restore</w:t>
      </w:r>
      <w:r>
        <w:rPr>
          <w:rFonts w:ascii="Times New Roman" w:hAnsi="Times New Roman" w:cs="Times New Roman"/>
          <w:sz w:val="20"/>
          <w:szCs w:val="20"/>
        </w:rPr>
        <w:t xml:space="preserve"> habitat means to return the quantity and quality of habitat to some previous condition, often some desirable historic baseline considered suitable and sufficient to support healthy and self-sustaining populations of fish and wildlife.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 xml:space="preserve"> This definition is an adaptation of the definition of “Habitat Restoration” in the U.S. Fish and Wildlife Service FY 2003 Annual Performance Plan/ FY 2001 Annual Performance Report.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PMingLiU" w:eastAsia="PMingLiU" w:cs="PMingLiU"/>
          <w:b/>
          <w:bCs/>
          <w:i/>
          <w:iCs/>
          <w:sz w:val="20"/>
          <w:szCs w:val="20"/>
        </w:rPr>
        <w:t>Riparian</w:t>
      </w:r>
      <w:r>
        <w:rPr>
          <w:rFonts w:ascii="PMingLiU" w:eastAsia="PMingLiU" w:cs="PMingLiU"/>
          <w:sz w:val="20"/>
          <w:szCs w:val="20"/>
        </w:rPr>
        <w:t xml:space="preserve"> means lands contiguous to perennial or intermittent  streams, channels, and rivers.  Riparian areas may include upland, wetland, and riparian plant communities.  Riparian plant communities are affected by surface or subsurface hydrology of the adjacent water source.  Riparian plant communities have one or both of the following characteristics: (a) distinctively different vegetative species than the adjacent area, and (b) species similar to adjacent areas but exhibiting more vigorous or robust growth forms.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This definition is an adaptation of the definition of “Habitat Restoration” in the U.S. Fish and Wildlife Service FY 2003 Annual Performance Plan/ FY 2001 Annual Performance Report.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Runs with the land</w:t>
      </w:r>
      <w:r>
        <w:rPr>
          <w:rFonts w:ascii="Times New Roman" w:hAnsi="Times New Roman" w:cs="Times New Roman"/>
          <w:i/>
          <w:iCs/>
          <w:sz w:val="20"/>
          <w:szCs w:val="20"/>
        </w:rPr>
        <w:t xml:space="preserve"> </w:t>
      </w:r>
      <w:r>
        <w:rPr>
          <w:rFonts w:ascii="Times New Roman" w:hAnsi="Times New Roman" w:cs="Times New Roman"/>
          <w:sz w:val="20"/>
          <w:szCs w:val="20"/>
        </w:rPr>
        <w:t>means that rights or covenants bind or benefit successive owners of a property.</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of “runs with the land”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State</w:t>
      </w:r>
      <w:r>
        <w:rPr>
          <w:rFonts w:ascii="Times New Roman" w:hAnsi="Times New Roman" w:cs="Times New Roman"/>
          <w:sz w:val="20"/>
          <w:szCs w:val="20"/>
        </w:rPr>
        <w:t xml:space="preserve"> means a State of the United States, the District of Columbia, the Commonwealth of Puerto Rico, the Commonwealth of the Northern Mariana Islands, and the Territory of American Samoa, the Territory of Guam, and the Territory of the Virgin Islands.  It includes any agency, instrumentality, or fiscal agent of a State, that is legally and fiscally dependent on the State Executive, State Treasurer, or State Comptroller.</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based on the definition of “State” at 43 CFR 12.43.</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Subaward</w:t>
      </w:r>
      <w:r>
        <w:rPr>
          <w:rFonts w:ascii="Times New Roman" w:hAnsi="Times New Roman" w:cs="Times New Roman"/>
          <w:sz w:val="20"/>
          <w:szCs w:val="20"/>
        </w:rPr>
        <w:t xml:space="preserve"> means an award of financial assistance in the form of money, or property in lieu of money, made under an award by a recipient to an eligible subrecipient or by a subrecipient to a lower-tier subrecipient.  The term includes financial assistance when provided by any legal agreement, even if the agreement is called a contract, but does not include procurement of goods and services.  For the purposes of the NAWCA Grants Program “subaward” is synonymous with “subgrant.”</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16"/>
          <w:szCs w:val="16"/>
        </w:rPr>
        <w:t xml:space="preserve"> </w:t>
      </w:r>
      <w:r>
        <w:rPr>
          <w:rFonts w:ascii="Times New Roman" w:hAnsi="Times New Roman" w:cs="Times New Roman"/>
          <w:i/>
          <w:iCs/>
          <w:sz w:val="16"/>
          <w:szCs w:val="16"/>
        </w:rPr>
        <w:t>: This definition includes the definition of “subaward” at 43 CFR 12.902.  It is also consistent with the definition of subgrant at 43 CFR 12.44.</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Subrecipient</w:t>
      </w:r>
      <w:r>
        <w:rPr>
          <w:rFonts w:ascii="Times New Roman" w:hAnsi="Times New Roman" w:cs="Times New Roman"/>
          <w:sz w:val="20"/>
          <w:szCs w:val="20"/>
        </w:rPr>
        <w:t xml:space="preserve"> means the legal entity to which a subaward is made and which is accountable to the recipient for the use of the funds provided.  A subrecipient is also a match provider who commits a matching in-kind contribution of real or personal property to a NAWCA project, but retains the property subject to terms and conditions that will ensure it will be administered for the project purpose and in accordance with the terms of the grant or cooperative agreement.  For the purposes of the NAWCA Grants Program, “subrecipient” is synonymous with “subgrantee”.  The recipient is the entire legal entity even if only a particular component of the entity is designated in the grant award document.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 xml:space="preserve">COMMENTARY: The first sentence of the definition is the definition of “subrecipient” at 43 CFR 12.902.  </w:t>
      </w:r>
    </w:p>
    <w:p w:rsidR="001F0636" w:rsidRDefault="001F0636">
      <w:pPr>
        <w:tabs>
          <w:tab w:val="left" w:pos="-480"/>
          <w:tab w:val="left" w:pos="0"/>
          <w:tab w:val="left" w:pos="360"/>
          <w:tab w:val="left" w:pos="630"/>
        </w:tabs>
        <w:rPr>
          <w:rFonts w:ascii="Times New Roman" w:hAnsi="Times New Roman" w:cs="Times New Roman"/>
          <w:i/>
          <w:iCs/>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The second sentence is based on: (a) the need to protect the Federal interest in any matching in-kind contribution to a NAWCA project, where the title or ownership of the matching in-kind contribution remains vested in the match provider; (b) 43 CFR 12.64(b)(7)(i) which states “Third party in-kind contributions count towards satisfying a cost sharing or matching requirement only where, if the party receiving the contributions were to pay for them, the payments would be allowable costs.”; and ©) 43 CFR 12.923©) which states, in part,“ Values for recipient contributions of services and property shall be established in accordance with the applicable cost principles.”  Unless a  matching in-kind contribution in this category is a de facto subaward, (and thus subject to 43 CFR, part 12), the Federal interest is not protected and it has no meaning as match.</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 xml:space="preserve">A “subrecipient” is synonymous with a “subgrantee” because the basic definitions at 43 CFR 12.43 and 43 CFR 12.902 is the same.  The only difference is that 43 CFR, part 12, uses “subgrantee” for State, Tribes, and local governments; and it uses “subrecipient” for institutions of higher education, hospitals, and nonprofit organizations.  “Subrecipient” may also be applied to foreign, international, or commercial organizations, as appropriate and at the discretion of the USFWS.  (See 43 CFR 12.902 Subrecipient and “Uniform Administrative Requirements for Grants and Agreements with Institutions of Higher Education, Hospitals and other Non-Profit Organizations”,OMB Circular A-110, 3. </w:t>
      </w:r>
      <w:r>
        <w:rPr>
          <w:rFonts w:ascii="Times New Roman" w:hAnsi="Times New Roman" w:cs="Times New Roman"/>
          <w:i/>
          <w:iCs/>
          <w:sz w:val="16"/>
          <w:szCs w:val="16"/>
          <w:u w:val="single"/>
        </w:rPr>
        <w:t>Policy</w:t>
      </w:r>
      <w:r>
        <w:rPr>
          <w:rFonts w:ascii="Times New Roman" w:hAnsi="Times New Roman" w:cs="Times New Roman"/>
          <w:i/>
          <w:iCs/>
          <w:sz w:val="16"/>
          <w:szCs w:val="16"/>
        </w:rPr>
        <w: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The recipient is the entire legal entity, even if only a particular component of the entity is designated in the grant award document, based on a similar statement in the definition of “Grantee” at 43 CFR 12.43.</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lastRenderedPageBreak/>
        <w:t>Suspension</w:t>
      </w:r>
      <w:r>
        <w:rPr>
          <w:rFonts w:ascii="Times New Roman" w:hAnsi="Times New Roman" w:cs="Times New Roman"/>
          <w:sz w:val="20"/>
          <w:szCs w:val="20"/>
        </w:rPr>
        <w:t xml:space="preserve"> means an action taken by a suspending official in accordance with the regulations in 43 CFR, part 12, subpart D, that immediately excludes a </w:t>
      </w:r>
      <w:r>
        <w:rPr>
          <w:rFonts w:ascii="Times New Roman" w:hAnsi="Times New Roman" w:cs="Times New Roman"/>
          <w:i/>
          <w:iCs/>
          <w:sz w:val="20"/>
          <w:szCs w:val="20"/>
        </w:rPr>
        <w:t>person</w:t>
      </w:r>
      <w:r>
        <w:rPr>
          <w:rFonts w:ascii="Times New Roman" w:hAnsi="Times New Roman" w:cs="Times New Roman"/>
          <w:sz w:val="20"/>
          <w:szCs w:val="20"/>
        </w:rPr>
        <w:t xml:space="preserve"> from participating in covered transactions for a temporary period, pending completion of an investigation, pending completion of an investigation and such legal, debarment, or Program Fraud Civil Remedies Act Proceedings as may ensue.  A person so excluded is suspended.  A </w:t>
      </w:r>
      <w:r>
        <w:rPr>
          <w:rFonts w:ascii="Times New Roman" w:hAnsi="Times New Roman" w:cs="Times New Roman"/>
          <w:i/>
          <w:iCs/>
          <w:sz w:val="20"/>
          <w:szCs w:val="20"/>
        </w:rPr>
        <w:t>person</w:t>
      </w:r>
      <w:r>
        <w:rPr>
          <w:rFonts w:ascii="Times New Roman" w:hAnsi="Times New Roman" w:cs="Times New Roman"/>
          <w:sz w:val="20"/>
          <w:szCs w:val="20"/>
        </w:rPr>
        <w:t xml:space="preserve"> within the context of this definition is an individual, corporation, partnership, association, unit of government or legal entity, however organized, except: foreign governments or foreign governmental entities, public international organizations, foreign government owned (in whole or in part) or controlled entities, and entities consisting wholly or partially of foreign governments or foreign governmental entities.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lastRenderedPageBreak/>
        <w:t>COMMENTARY: This definition includes as separate elements the definitions of “Suspension” and “Person” at 43 CFR, part 12, subpart D, § 105.   Suspension of a recipient (a“person”) under 43 CFR, part 12, subpart C, § 83©)(3), 43 CFR, part 12, subpart D, § 400-420 , and 43 CFR, part 12, subpart F, § 913, is a separate action from suspension of an award at 43 CFR, part 12, subpart C, § 83(a)(3), 43 CFR, part 12, subpart F, § 962.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Tenant</w:t>
      </w:r>
      <w:r>
        <w:rPr>
          <w:rFonts w:ascii="Times New Roman" w:hAnsi="Times New Roman" w:cs="Times New Roman"/>
          <w:sz w:val="20"/>
          <w:szCs w:val="20"/>
        </w:rPr>
        <w:t xml:space="preserve"> means a person who has the temporary use and occupancy of real property owned by another.</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from the definition of “tenant” at 49 CFR 24.2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Term</w:t>
      </w:r>
      <w:r>
        <w:rPr>
          <w:rFonts w:ascii="Times New Roman" w:hAnsi="Times New Roman" w:cs="Times New Roman"/>
          <w:sz w:val="20"/>
          <w:szCs w:val="20"/>
        </w:rPr>
        <w:t xml:space="preserve"> of an agreement means a provision or condition of that agreement.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2. of “term”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Term</w:t>
      </w:r>
      <w:r>
        <w:rPr>
          <w:rFonts w:ascii="Times New Roman" w:hAnsi="Times New Roman" w:cs="Times New Roman"/>
          <w:sz w:val="20"/>
          <w:szCs w:val="20"/>
        </w:rPr>
        <w:t xml:space="preserve"> of a less-than-perpetual easement means the length of time, during which time the holder of the easement may exercise limited use of another’s land.</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1. of “term”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Term</w:t>
      </w:r>
      <w:r>
        <w:rPr>
          <w:rFonts w:ascii="Times New Roman" w:hAnsi="Times New Roman" w:cs="Times New Roman"/>
          <w:sz w:val="20"/>
          <w:szCs w:val="20"/>
        </w:rPr>
        <w:t xml:space="preserve"> of a lease means the length of time stipulated in the lease document, during which the a tenant may rightfully occupy the premises.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1. of “term”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Trade fixture</w:t>
      </w:r>
      <w:r>
        <w:rPr>
          <w:rFonts w:ascii="Times New Roman" w:hAnsi="Times New Roman" w:cs="Times New Roman"/>
          <w:sz w:val="20"/>
          <w:szCs w:val="20"/>
        </w:rPr>
        <w:t xml:space="preserve"> means an article of personal property annexed or affixed to leased premises by the tenant as a necessary part of the tenant’s trade or business.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of “trade fixture”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USFWS</w:t>
      </w:r>
      <w:r>
        <w:rPr>
          <w:rFonts w:ascii="Times New Roman" w:hAnsi="Times New Roman" w:cs="Times New Roman"/>
          <w:sz w:val="20"/>
          <w:szCs w:val="20"/>
        </w:rPr>
        <w:t xml:space="preserve"> means the United States Fish and Wildlife Service, which is an agency of the Department of the Interior.  The North American Wetlands Conservation Act stipulates that the USFWS Director be a member of the North American Wetlands Conservation Council.  It also stipulates that the USFWS Director appoint the Council Coordinator who is responsible, with assistance from the USFWS, for facilitating consideration of wetlands conservation projects by the Council and otherwise assisting the Council in carrying out its responsibilities under the Act.  The North American Wetlands Conservation Act Grants Program is funded through the USFWS budget.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Willfulness</w:t>
      </w:r>
      <w:r>
        <w:rPr>
          <w:rFonts w:ascii="Times New Roman" w:hAnsi="Times New Roman" w:cs="Times New Roman"/>
          <w:i/>
          <w:iCs/>
          <w:sz w:val="20"/>
          <w:szCs w:val="20"/>
        </w:rPr>
        <w:t xml:space="preserve"> </w:t>
      </w:r>
      <w:r>
        <w:rPr>
          <w:rFonts w:ascii="Times New Roman" w:hAnsi="Times New Roman" w:cs="Times New Roman"/>
          <w:sz w:val="20"/>
          <w:szCs w:val="20"/>
        </w:rPr>
        <w:t xml:space="preserve">means: (a) the recipient had knowledge beforehand that the action or inaction would fail to comply with the terms or conditions of an award; or (b) the recipient could have determined from the grant or cooperative agreement whether the action or inaction was not compliant with the terms and conditions of the award; or ©) the recipient acted in reckless disregard as to whether the action or inaction was in compliance with the terms and conditions of the award.       </w:t>
      </w:r>
      <w:r>
        <w:rPr>
          <w:rFonts w:ascii="Times New Roman" w:hAnsi="Times New Roman" w:cs="Times New Roman"/>
          <w:b/>
          <w:bCs/>
          <w:sz w:val="20"/>
          <w:szCs w:val="20"/>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20"/>
          <w:szCs w:val="20"/>
        </w:rPr>
      </w:pPr>
      <w:r>
        <w:rPr>
          <w:rFonts w:ascii="Times New Roman" w:hAnsi="Times New Roman" w:cs="Times New Roman"/>
          <w:i/>
          <w:iCs/>
          <w:sz w:val="16"/>
          <w:szCs w:val="16"/>
        </w:rPr>
        <w:t>COMMENTARY:</w:t>
      </w:r>
      <w:r>
        <w:rPr>
          <w:rFonts w:ascii="Times New Roman" w:hAnsi="Times New Roman" w:cs="Times New Roman"/>
          <w:sz w:val="16"/>
          <w:szCs w:val="16"/>
        </w:rPr>
        <w:t xml:space="preserve"> </w:t>
      </w:r>
      <w:r>
        <w:rPr>
          <w:rFonts w:ascii="Times New Roman" w:hAnsi="Times New Roman" w:cs="Times New Roman"/>
          <w:i/>
          <w:iCs/>
          <w:sz w:val="16"/>
          <w:szCs w:val="16"/>
        </w:rPr>
        <w:t>This definition of willfulness was adapted from the 1999Cumulative Annual Pocket Part Title 31U.S.C., Money and Finance, immediately before §1350, Notes of Decisions, 4. Willfulness.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firstLine="5760"/>
        <w:rPr>
          <w:rFonts w:ascii="Times New Roman" w:hAnsi="Times New Roman" w:cs="Times New Roman"/>
          <w:sz w:val="20"/>
          <w:szCs w:val="20"/>
        </w:rPr>
      </w:pPr>
      <w:r>
        <w:rPr>
          <w:rFonts w:ascii="Times New Roman" w:hAnsi="Times New Roman" w:cs="Times New Roman"/>
          <w:sz w:val="14"/>
          <w:szCs w:val="14"/>
        </w:rPr>
        <w:fldChar w:fldCharType="begin"/>
      </w:r>
      <w:r>
        <w:rPr>
          <w:rFonts w:ascii="Times New Roman" w:hAnsi="Times New Roman" w:cs="Times New Roman"/>
          <w:sz w:val="14"/>
          <w:szCs w:val="14"/>
        </w:rPr>
        <w:instrText>FILENAME  \* upper</w:instrText>
      </w:r>
      <w:r>
        <w:rPr>
          <w:rFonts w:ascii="Times New Roman" w:hAnsi="Times New Roman" w:cs="Times New Roman"/>
          <w:sz w:val="14"/>
          <w:szCs w:val="14"/>
        </w:rPr>
        <w:fldChar w:fldCharType="separate"/>
      </w:r>
      <w:r>
        <w:rPr>
          <w:rFonts w:ascii="Times New Roman" w:hAnsi="Times New Roman" w:cs="Times New Roman"/>
          <w:sz w:val="14"/>
          <w:szCs w:val="14"/>
        </w:rPr>
        <w:t>PolicyGrantAdministrationSeptember272004&amp;DefinitionsB&amp;W.wpd</w:t>
      </w:r>
      <w:r>
        <w:rPr>
          <w:rFonts w:ascii="Times New Roman" w:hAnsi="Times New Roman" w:cs="Times New Roman"/>
          <w:sz w:val="14"/>
          <w:szCs w:val="14"/>
        </w:rPr>
        <w:fldChar w:fldCharType="end"/>
      </w:r>
      <w:r>
        <w:rPr>
          <w:rFonts w:ascii="Times New Roman" w:hAnsi="Times New Roman" w:cs="Times New Roman"/>
          <w:sz w:val="14"/>
          <w:szCs w:val="14"/>
        </w:rPr>
        <w:t>, September 27, 2004</w:t>
      </w:r>
    </w:p>
    <w:p w:rsidR="001F0636" w:rsidRDefault="001F0636">
      <w:pPr>
        <w:tabs>
          <w:tab w:val="left" w:pos="-480"/>
          <w:tab w:val="left" w:pos="0"/>
          <w:tab w:val="left" w:pos="360"/>
          <w:tab w:val="left" w:pos="630"/>
        </w:tabs>
        <w:rPr>
          <w:rFonts w:ascii="Times New Roman" w:hAnsi="Times New Roman" w:cs="Times New Roman"/>
          <w:sz w:val="20"/>
          <w:szCs w:val="20"/>
        </w:rPr>
      </w:pPr>
    </w:p>
    <w:sectPr w:rsidR="001F0636" w:rsidSect="001F0636">
      <w:type w:val="continuous"/>
      <w:pgSz w:w="12240" w:h="15840"/>
      <w:pgMar w:top="450" w:right="450" w:bottom="720" w:left="720" w:header="45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1EE9" w:rsidRDefault="00AD1EE9" w:rsidP="001F0636">
      <w:r>
        <w:separator/>
      </w:r>
    </w:p>
  </w:endnote>
  <w:endnote w:type="continuationSeparator" w:id="0">
    <w:p w:rsidR="00AD1EE9" w:rsidRDefault="00AD1EE9" w:rsidP="001F06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Ebrima">
    <w:panose1 w:val="02000000000000000000"/>
    <w:charset w:val="00"/>
    <w:family w:val="auto"/>
    <w:pitch w:val="variable"/>
    <w:sig w:usb0="A000005F" w:usb1="02000041" w:usb2="00000000" w:usb3="00000000" w:csb0="00000093" w:csb1="00000000"/>
  </w:font>
  <w:font w:name="Sakkal Majalla">
    <w:panose1 w:val="02000000000000000000"/>
    <w:charset w:val="00"/>
    <w:family w:val="auto"/>
    <w:pitch w:val="variable"/>
    <w:sig w:usb0="A000207F" w:usb1="C000204B" w:usb2="00000008" w:usb3="00000000" w:csb0="000000D3" w:csb1="00000000"/>
  </w:font>
  <w:font w:name="PMingLiU">
    <w:altName w:val="新細明體"/>
    <w:panose1 w:val="02020500000000000000"/>
    <w:charset w:val="88"/>
    <w:family w:val="roman"/>
    <w:pitch w:val="variable"/>
    <w:sig w:usb0="A00002FF" w:usb1="28CFFCFA" w:usb2="00000016" w:usb3="00000000" w:csb0="001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636" w:rsidRDefault="001F0636">
    <w:pPr>
      <w:spacing w:line="240" w:lineRule="exact"/>
    </w:pPr>
  </w:p>
  <w:p w:rsidR="001F0636" w:rsidRDefault="001F0636">
    <w:pPr>
      <w:framePr w:w="10801" w:wrap="notBeside" w:vAnchor="text" w:hAnchor="text" w:x="1" w:y="1"/>
      <w:jc w:val="center"/>
      <w:rPr>
        <w:rFonts w:cs="Ebrima"/>
      </w:rPr>
    </w:pPr>
    <w:r>
      <w:rPr>
        <w:rFonts w:cs="Ebrima"/>
      </w:rPr>
      <w:fldChar w:fldCharType="begin"/>
    </w:r>
    <w:r>
      <w:rPr>
        <w:rFonts w:cs="Ebrima"/>
      </w:rPr>
      <w:instrText xml:space="preserve">PAGE </w:instrText>
    </w:r>
    <w:r w:rsidR="00AE7CE2">
      <w:rPr>
        <w:rFonts w:cs="Ebrima"/>
      </w:rPr>
      <w:fldChar w:fldCharType="separate"/>
    </w:r>
    <w:r w:rsidR="00AE7CE2">
      <w:rPr>
        <w:rFonts w:cs="Ebrima"/>
        <w:noProof/>
      </w:rPr>
      <w:t>77</w:t>
    </w:r>
    <w:r>
      <w:rPr>
        <w:rFonts w:cs="Ebrima"/>
      </w:rPr>
      <w:fldChar w:fldCharType="end"/>
    </w:r>
  </w:p>
  <w:p w:rsidR="001F0636" w:rsidRDefault="001F0636">
    <w:pPr>
      <w:ind w:left="720" w:right="720"/>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1EE9" w:rsidRDefault="00AD1EE9" w:rsidP="001F0636">
      <w:r>
        <w:separator/>
      </w:r>
    </w:p>
  </w:footnote>
  <w:footnote w:type="continuationSeparator" w:id="0">
    <w:p w:rsidR="00AD1EE9" w:rsidRDefault="00AD1EE9" w:rsidP="001F06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CCEB186"/>
    <w:lvl w:ilvl="0">
      <w:numFmt w:val="bullet"/>
      <w:lvlText w:val="*"/>
      <w:lvlJc w:val="left"/>
    </w:lvl>
  </w:abstractNum>
  <w:abstractNum w:abstractNumId="1">
    <w:nsid w:val="00000001"/>
    <w:multiLevelType w:val="multilevel"/>
    <w:tmpl w:val="00000000"/>
    <w:name w:val="AutoList44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2">
    <w:nsid w:val="00000002"/>
    <w:multiLevelType w:val="multilevel"/>
    <w:tmpl w:val="00000000"/>
    <w:name w:val="AutoList437"/>
    <w:lvl w:ilvl="0">
      <w:start w:val="1"/>
      <w:numFmt w:val="decimal"/>
      <w:lvlText w:val="A-%1_"/>
      <w:lvlJc w:val="left"/>
    </w:lvl>
    <w:lvl w:ilvl="1">
      <w:start w:val="1"/>
      <w:numFmt w:val="upperLetter"/>
      <w:lvlText w:val="%1-%2_"/>
      <w:lvlJc w:val="left"/>
    </w:lvl>
    <w:lvl w:ilvl="2">
      <w:start w:val="1"/>
      <w:numFmt w:val="upperLetter"/>
      <w:isLgl/>
      <w:lvlText w:val="%2-%3_"/>
      <w:lvlJc w:val="left"/>
    </w:lvl>
    <w:lvl w:ilvl="3">
      <w:start w:val="1"/>
      <w:numFmt w:val="upperLetter"/>
      <w:isLgl/>
      <w:lvlText w:val="%3-%4_"/>
      <w:lvlJc w:val="left"/>
    </w:lvl>
    <w:lvl w:ilvl="4">
      <w:start w:val="1"/>
      <w:numFmt w:val="upperLetter"/>
      <w:isLgl/>
      <w:lvlText w:val="%4-%5_"/>
      <w:lvlJc w:val="left"/>
    </w:lvl>
    <w:lvl w:ilvl="5">
      <w:start w:val="1"/>
      <w:numFmt w:val="upperLetter"/>
      <w:isLgl/>
      <w:lvlText w:val="%5-%6_"/>
      <w:lvlJc w:val="left"/>
    </w:lvl>
    <w:lvl w:ilvl="6">
      <w:start w:val="1"/>
      <w:numFmt w:val="upperLetter"/>
      <w:isLgl/>
      <w:lvlText w:val="%6-%7_"/>
      <w:lvlJc w:val="left"/>
    </w:lvl>
    <w:lvl w:ilvl="7">
      <w:start w:val="1"/>
      <w:numFmt w:val="upperLetter"/>
      <w:isLgl/>
      <w:lvlText w:val="%7-%8_"/>
      <w:lvlJc w:val="left"/>
    </w:lvl>
    <w:lvl w:ilvl="8">
      <w:numFmt w:val="decimal"/>
      <w:lvlText w:val=""/>
      <w:lvlJc w:val="left"/>
    </w:lvl>
  </w:abstractNum>
  <w:abstractNum w:abstractNumId="3">
    <w:nsid w:val="00000003"/>
    <w:multiLevelType w:val="multilevel"/>
    <w:tmpl w:val="00000000"/>
    <w:name w:val="AutoList43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4">
    <w:nsid w:val="00000004"/>
    <w:multiLevelType w:val="multilevel"/>
    <w:tmpl w:val="00000000"/>
    <w:name w:val="AutoList16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5">
    <w:nsid w:val="00000005"/>
    <w:multiLevelType w:val="multilevel"/>
    <w:tmpl w:val="00000000"/>
    <w:name w:val="AutoList44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
    <w:nsid w:val="00000006"/>
    <w:multiLevelType w:val="multilevel"/>
    <w:tmpl w:val="00000000"/>
    <w:name w:val="AutoList438"/>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7">
    <w:nsid w:val="00000007"/>
    <w:multiLevelType w:val="multilevel"/>
    <w:tmpl w:val="00000000"/>
    <w:name w:val="AutoList17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
    <w:nsid w:val="00000008"/>
    <w:multiLevelType w:val="multilevel"/>
    <w:tmpl w:val="00000000"/>
    <w:name w:val="AutoList44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
    <w:nsid w:val="00000009"/>
    <w:multiLevelType w:val="multilevel"/>
    <w:tmpl w:val="00000000"/>
    <w:name w:val="AutoList17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
    <w:nsid w:val="0000000A"/>
    <w:multiLevelType w:val="multilevel"/>
    <w:tmpl w:val="00000000"/>
    <w:name w:val="AutoList17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1">
    <w:nsid w:val="0000000B"/>
    <w:multiLevelType w:val="multilevel"/>
    <w:tmpl w:val="00000000"/>
    <w:name w:val="AutoList47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2">
    <w:nsid w:val="0000000C"/>
    <w:multiLevelType w:val="multilevel"/>
    <w:tmpl w:val="00000000"/>
    <w:name w:val="AutoList47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3">
    <w:nsid w:val="0000000D"/>
    <w:multiLevelType w:val="multilevel"/>
    <w:tmpl w:val="00000000"/>
    <w:name w:val="AutoList226"/>
    <w:lvl w:ilvl="0">
      <w:start w:val="1"/>
      <w:numFmt w:val="lowerLetter"/>
      <w:lvlText w:val="(%1)"/>
      <w:lvlJc w:val="left"/>
    </w:lvl>
    <w:lvl w:ilvl="1">
      <w:start w:val="1"/>
      <w:numFmt w:val="upp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4">
    <w:nsid w:val="0000000E"/>
    <w:multiLevelType w:val="multilevel"/>
    <w:tmpl w:val="00000000"/>
    <w:name w:val="AutoList36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5">
    <w:nsid w:val="0000000F"/>
    <w:multiLevelType w:val="multilevel"/>
    <w:tmpl w:val="00000000"/>
    <w:name w:val="AutoList36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6">
    <w:nsid w:val="00000010"/>
    <w:multiLevelType w:val="multilevel"/>
    <w:tmpl w:val="00000000"/>
    <w:name w:val="AutoList400"/>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7">
    <w:nsid w:val="00000011"/>
    <w:multiLevelType w:val="multilevel"/>
    <w:tmpl w:val="00000000"/>
    <w:name w:val="AutoList372"/>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8">
    <w:nsid w:val="00000012"/>
    <w:multiLevelType w:val="multilevel"/>
    <w:tmpl w:val="00000000"/>
    <w:name w:val="AutoList479"/>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9">
    <w:nsid w:val="00000013"/>
    <w:multiLevelType w:val="multilevel"/>
    <w:tmpl w:val="00000000"/>
    <w:name w:val="AutoList39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0">
    <w:nsid w:val="00000014"/>
    <w:multiLevelType w:val="multilevel"/>
    <w:tmpl w:val="00000000"/>
    <w:name w:val="AutoList401"/>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1">
    <w:nsid w:val="00000015"/>
    <w:multiLevelType w:val="multilevel"/>
    <w:tmpl w:val="00000000"/>
    <w:name w:val="AutoList102"/>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2">
    <w:nsid w:val="00000016"/>
    <w:multiLevelType w:val="multilevel"/>
    <w:tmpl w:val="00000000"/>
    <w:name w:val="AutoList402"/>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3">
    <w:nsid w:val="00000017"/>
    <w:multiLevelType w:val="multilevel"/>
    <w:tmpl w:val="00000000"/>
    <w:name w:val="AutoList404"/>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4">
    <w:nsid w:val="00000018"/>
    <w:multiLevelType w:val="multilevel"/>
    <w:tmpl w:val="00000000"/>
    <w:name w:val="AutoList39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5">
    <w:nsid w:val="00000019"/>
    <w:multiLevelType w:val="multilevel"/>
    <w:tmpl w:val="00000000"/>
    <w:name w:val="AutoList393"/>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6">
    <w:nsid w:val="0000001A"/>
    <w:multiLevelType w:val="multilevel"/>
    <w:tmpl w:val="00000000"/>
    <w:name w:val="AutoList39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7">
    <w:nsid w:val="0000001B"/>
    <w:multiLevelType w:val="multilevel"/>
    <w:tmpl w:val="00000000"/>
    <w:name w:val="AutoList39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8">
    <w:nsid w:val="0000001C"/>
    <w:multiLevelType w:val="multilevel"/>
    <w:tmpl w:val="00000000"/>
    <w:name w:val="AutoList48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9">
    <w:nsid w:val="0000001D"/>
    <w:multiLevelType w:val="multilevel"/>
    <w:tmpl w:val="00000000"/>
    <w:name w:val="AutoList403"/>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30">
    <w:nsid w:val="0000001E"/>
    <w:multiLevelType w:val="multilevel"/>
    <w:tmpl w:val="00000000"/>
    <w:name w:val="AutoList389"/>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1">
    <w:nsid w:val="0000001F"/>
    <w:multiLevelType w:val="multilevel"/>
    <w:tmpl w:val="00000000"/>
    <w:name w:val="AutoList39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2">
    <w:nsid w:val="00000020"/>
    <w:multiLevelType w:val="multilevel"/>
    <w:tmpl w:val="00000000"/>
    <w:name w:val="AutoList36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3">
    <w:nsid w:val="00000021"/>
    <w:multiLevelType w:val="multilevel"/>
    <w:tmpl w:val="00000000"/>
    <w:name w:val="AutoList12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34">
    <w:nsid w:val="00000022"/>
    <w:multiLevelType w:val="multilevel"/>
    <w:tmpl w:val="00000000"/>
    <w:name w:val="AutoList13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35">
    <w:nsid w:val="00000023"/>
    <w:multiLevelType w:val="multilevel"/>
    <w:tmpl w:val="00000000"/>
    <w:name w:val="AutoList13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36">
    <w:nsid w:val="00000024"/>
    <w:multiLevelType w:val="multilevel"/>
    <w:tmpl w:val="00000000"/>
    <w:name w:val="AutoList99"/>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37">
    <w:nsid w:val="00000025"/>
    <w:multiLevelType w:val="multilevel"/>
    <w:tmpl w:val="00000000"/>
    <w:name w:val="AutoList9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8">
    <w:nsid w:val="00000026"/>
    <w:multiLevelType w:val="multilevel"/>
    <w:tmpl w:val="00000000"/>
    <w:name w:val="AutoList9"/>
    <w:lvl w:ilvl="0">
      <w:start w:val="1"/>
      <w:numFmt w:val="decimal"/>
      <w:lvlText w:val="·"/>
      <w:lvlJc w:val="left"/>
    </w:lvl>
    <w:lvl w:ilvl="1">
      <w:start w:val="1"/>
      <w:numFmt w:val="decimal"/>
      <w:lvlText w:val="·"/>
      <w:lvlJc w:val="left"/>
    </w:lvl>
    <w:lvl w:ilvl="2">
      <w:start w:val="1"/>
      <w:numFmt w:val="lowerLetter"/>
      <w:lvlText w:val="(%3)"/>
      <w:lvlJc w:val="left"/>
    </w:lvl>
    <w:lvl w:ilvl="3">
      <w:start w:val="1"/>
      <w:numFmt w:val="lowerLetter"/>
      <w:lvlText w:val="(%4)"/>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39">
    <w:nsid w:val="00000027"/>
    <w:multiLevelType w:val="multilevel"/>
    <w:tmpl w:val="00000000"/>
    <w:name w:val="AutoList10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40">
    <w:nsid w:val="00000028"/>
    <w:multiLevelType w:val="multilevel"/>
    <w:tmpl w:val="00000000"/>
    <w:name w:val="AutoList80"/>
    <w:lvl w:ilvl="0">
      <w:start w:val="1"/>
      <w:numFmt w:val="decimal"/>
      <w:lvlText w:val="§"/>
      <w:lvlJc w:val="left"/>
    </w:lvl>
    <w:lvl w:ilvl="1">
      <w:start w:val="1"/>
      <w:numFmt w:val="upperLetter"/>
      <w:lvlText w:val="%2."/>
      <w:lvlJc w:val="left"/>
    </w:lvl>
    <w:lvl w:ilvl="2">
      <w:start w:val="1"/>
      <w:numFmt w:val="lowerLetter"/>
      <w:lvlText w:val="(%3)"/>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41">
    <w:nsid w:val="00000029"/>
    <w:multiLevelType w:val="multilevel"/>
    <w:tmpl w:val="00000000"/>
    <w:name w:val="AutoList346"/>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42">
    <w:nsid w:val="0000002A"/>
    <w:multiLevelType w:val="multilevel"/>
    <w:tmpl w:val="00000000"/>
    <w:name w:val="AutoList348"/>
    <w:lvl w:ilvl="0">
      <w:start w:val="1"/>
      <w:numFmt w:val="upperRoman"/>
      <w:lvlText w:val="%1."/>
      <w:lvlJc w:val="left"/>
    </w:lvl>
    <w:lvl w:ilvl="1">
      <w:start w:val="1"/>
      <w:numFmt w:val="upperRoman"/>
      <w:lvlText w:val="%2."/>
      <w:lvlJc w:val="left"/>
    </w:lvl>
    <w:lvl w:ilvl="2">
      <w:start w:val="1"/>
      <w:numFmt w:val="upperRoman"/>
      <w:lvlText w:val="%3."/>
      <w:lvlJc w:val="left"/>
    </w:lvl>
    <w:lvl w:ilvl="3">
      <w:start w:val="1"/>
      <w:numFmt w:val="upperRoman"/>
      <w:lvlText w:val="%4."/>
      <w:lvlJc w:val="left"/>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43">
    <w:nsid w:val="0000002B"/>
    <w:multiLevelType w:val="multilevel"/>
    <w:tmpl w:val="00000000"/>
    <w:name w:val="AutoList9"/>
    <w:lvl w:ilvl="0">
      <w:start w:val="1"/>
      <w:numFmt w:val="decimal"/>
      <w:lvlText w:val="·"/>
      <w:lvlJc w:val="left"/>
    </w:lvl>
    <w:lvl w:ilvl="1">
      <w:start w:val="1"/>
      <w:numFmt w:val="decimal"/>
      <w:lvlText w:val="·"/>
      <w:lvlJc w:val="left"/>
    </w:lvl>
    <w:lvl w:ilvl="2">
      <w:start w:val="1"/>
      <w:numFmt w:val="lowerLetter"/>
      <w:lvlText w:val="(%3)"/>
      <w:lvlJc w:val="left"/>
    </w:lvl>
    <w:lvl w:ilvl="3">
      <w:start w:val="1"/>
      <w:numFmt w:val="lowerLetter"/>
      <w:lvlText w:val="(%4)"/>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44">
    <w:nsid w:val="0000002C"/>
    <w:multiLevelType w:val="multilevel"/>
    <w:tmpl w:val="00000000"/>
    <w:name w:val="AutoList34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45">
    <w:nsid w:val="0000002D"/>
    <w:multiLevelType w:val="multilevel"/>
    <w:tmpl w:val="00000000"/>
    <w:name w:val="AutoList35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low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46">
    <w:nsid w:val="0000002E"/>
    <w:multiLevelType w:val="multilevel"/>
    <w:tmpl w:val="00000000"/>
    <w:name w:val="AutoList38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47">
    <w:nsid w:val="0000002F"/>
    <w:multiLevelType w:val="multilevel"/>
    <w:tmpl w:val="00000000"/>
    <w:name w:val="AutoList180"/>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48">
    <w:nsid w:val="00000030"/>
    <w:multiLevelType w:val="multilevel"/>
    <w:tmpl w:val="00000000"/>
    <w:name w:val="AutoList416"/>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49">
    <w:nsid w:val="00000031"/>
    <w:multiLevelType w:val="multilevel"/>
    <w:tmpl w:val="00000000"/>
    <w:name w:val="AutoList41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0">
    <w:nsid w:val="00000032"/>
    <w:multiLevelType w:val="multilevel"/>
    <w:tmpl w:val="00000000"/>
    <w:name w:val="AutoList7"/>
    <w:lvl w:ilvl="0">
      <w:start w:val="1"/>
      <w:numFmt w:val="upperLetter"/>
      <w:lvlText w:val="%1."/>
      <w:lvlJc w:val="left"/>
    </w:lvl>
    <w:lvl w:ilvl="1">
      <w:start w:val="1"/>
      <w:numFmt w:val="upperLetter"/>
      <w:lvlText w:val="%2."/>
      <w:lvlJc w:val="left"/>
    </w:lvl>
    <w:lvl w:ilvl="2">
      <w:start w:val="1"/>
      <w:numFmt w:val="decimal"/>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decimal"/>
      <w:lvlText w:val="·"/>
      <w:lvlJc w:val="left"/>
    </w:lvl>
    <w:lvl w:ilvl="7">
      <w:start w:val="1"/>
      <w:numFmt w:val="upperLetter"/>
      <w:lvlText w:val="%8."/>
      <w:lvlJc w:val="left"/>
    </w:lvl>
    <w:lvl w:ilvl="8">
      <w:numFmt w:val="decimal"/>
      <w:lvlText w:val=""/>
      <w:lvlJc w:val="left"/>
    </w:lvl>
  </w:abstractNum>
  <w:abstractNum w:abstractNumId="51">
    <w:nsid w:val="00000033"/>
    <w:multiLevelType w:val="multilevel"/>
    <w:tmpl w:val="00000000"/>
    <w:name w:val="AutoList11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lowerLetter"/>
      <w:lvlText w:val="(%4)"/>
      <w:lvlJc w:val="left"/>
    </w:lvl>
    <w:lvl w:ilvl="4">
      <w:start w:val="1"/>
      <w:numFmt w:val="low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52">
    <w:nsid w:val="00000034"/>
    <w:multiLevelType w:val="multilevel"/>
    <w:tmpl w:val="00000000"/>
    <w:name w:val="AutoList387"/>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3">
    <w:nsid w:val="00000035"/>
    <w:multiLevelType w:val="multilevel"/>
    <w:tmpl w:val="00000000"/>
    <w:name w:val="AutoList11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4">
    <w:nsid w:val="00000036"/>
    <w:multiLevelType w:val="multilevel"/>
    <w:tmpl w:val="00000000"/>
    <w:name w:val="AutoList116"/>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5">
    <w:nsid w:val="00000037"/>
    <w:multiLevelType w:val="multilevel"/>
    <w:tmpl w:val="00000000"/>
    <w:name w:val="AutoList117"/>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6">
    <w:nsid w:val="00000038"/>
    <w:multiLevelType w:val="multilevel"/>
    <w:tmpl w:val="00000000"/>
    <w:name w:val="AutoList11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7">
    <w:nsid w:val="00000039"/>
    <w:multiLevelType w:val="multilevel"/>
    <w:tmpl w:val="00000000"/>
    <w:name w:val="AutoList119"/>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8">
    <w:nsid w:val="0000003A"/>
    <w:multiLevelType w:val="multilevel"/>
    <w:tmpl w:val="00000000"/>
    <w:name w:val="AutoList120"/>
    <w:lvl w:ilvl="0">
      <w:start w:val="1"/>
      <w:numFmt w:val="lowerLetter"/>
      <w:lvlText w:val="(%1)"/>
      <w:lvlJc w:val="left"/>
    </w:lvl>
    <w:lvl w:ilvl="1">
      <w:start w:val="1"/>
      <w:numFmt w:val="lowerLetter"/>
      <w:lvlText w:val="(%2)"/>
      <w:lvlJc w:val="left"/>
    </w:lvl>
    <w:lvl w:ilvl="2">
      <w:start w:val="1"/>
      <w:numFmt w:val="upp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9">
    <w:nsid w:val="0000003B"/>
    <w:multiLevelType w:val="multilevel"/>
    <w:tmpl w:val="00000000"/>
    <w:name w:val="AutoList18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0">
    <w:nsid w:val="0000003C"/>
    <w:multiLevelType w:val="multilevel"/>
    <w:tmpl w:val="00000000"/>
    <w:name w:val="AutoList406"/>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1">
    <w:nsid w:val="0000003D"/>
    <w:multiLevelType w:val="multilevel"/>
    <w:tmpl w:val="00000000"/>
    <w:name w:val="AutoList407"/>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2">
    <w:nsid w:val="0000003E"/>
    <w:multiLevelType w:val="multilevel"/>
    <w:tmpl w:val="00000000"/>
    <w:name w:val="AutoList165"/>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3">
    <w:nsid w:val="0000003F"/>
    <w:multiLevelType w:val="multilevel"/>
    <w:tmpl w:val="00000000"/>
    <w:name w:val="AutoList166"/>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4">
    <w:nsid w:val="00000040"/>
    <w:multiLevelType w:val="multilevel"/>
    <w:tmpl w:val="00000000"/>
    <w:name w:val="AutoList104"/>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5">
    <w:nsid w:val="00000041"/>
    <w:multiLevelType w:val="multilevel"/>
    <w:tmpl w:val="00000000"/>
    <w:name w:val="AutoList399"/>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6">
    <w:nsid w:val="00000042"/>
    <w:multiLevelType w:val="multilevel"/>
    <w:tmpl w:val="00000000"/>
    <w:name w:val="AutoList20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low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7">
    <w:nsid w:val="00000043"/>
    <w:multiLevelType w:val="multilevel"/>
    <w:tmpl w:val="00000000"/>
    <w:name w:val="AutoList39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8">
    <w:nsid w:val="00000044"/>
    <w:multiLevelType w:val="multilevel"/>
    <w:tmpl w:val="00000000"/>
    <w:name w:val="AutoList40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9">
    <w:nsid w:val="00000045"/>
    <w:multiLevelType w:val="multilevel"/>
    <w:tmpl w:val="00000000"/>
    <w:name w:val="AutoList421"/>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70">
    <w:nsid w:val="00000046"/>
    <w:multiLevelType w:val="multilevel"/>
    <w:tmpl w:val="00000000"/>
    <w:name w:val="AutoList358"/>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71">
    <w:nsid w:val="00000047"/>
    <w:multiLevelType w:val="multilevel"/>
    <w:tmpl w:val="00000000"/>
    <w:name w:val="AutoList421"/>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72">
    <w:nsid w:val="00000048"/>
    <w:multiLevelType w:val="multilevel"/>
    <w:tmpl w:val="00000000"/>
    <w:name w:val="AutoList34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73">
    <w:nsid w:val="00000049"/>
    <w:multiLevelType w:val="multilevel"/>
    <w:tmpl w:val="00000000"/>
    <w:name w:val="AutoList36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74">
    <w:nsid w:val="0000004A"/>
    <w:multiLevelType w:val="multilevel"/>
    <w:tmpl w:val="00000000"/>
    <w:name w:val="AutoList24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75">
    <w:nsid w:val="0000004B"/>
    <w:multiLevelType w:val="multilevel"/>
    <w:tmpl w:val="00000000"/>
    <w:name w:val="AutoList24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76">
    <w:nsid w:val="0000004C"/>
    <w:multiLevelType w:val="multilevel"/>
    <w:tmpl w:val="00000000"/>
    <w:name w:val="AutoList65"/>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Letter"/>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77">
    <w:nsid w:val="0000004D"/>
    <w:multiLevelType w:val="multilevel"/>
    <w:tmpl w:val="00000000"/>
    <w:name w:val="AutoList24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78">
    <w:nsid w:val="0000004E"/>
    <w:multiLevelType w:val="multilevel"/>
    <w:tmpl w:val="00000000"/>
    <w:name w:val="AutoList68"/>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79">
    <w:nsid w:val="0000004F"/>
    <w:multiLevelType w:val="multilevel"/>
    <w:tmpl w:val="00000000"/>
    <w:name w:val="AutoList236"/>
    <w:lvl w:ilvl="0">
      <w:start w:val="1"/>
      <w:numFmt w:val="lowerRoman"/>
      <w:lvlText w:val="%1."/>
      <w:lvlJc w:val="left"/>
    </w:lvl>
    <w:lvl w:ilvl="1">
      <w:start w:val="1"/>
      <w:numFmt w:val="upperLetter"/>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80">
    <w:nsid w:val="00000050"/>
    <w:multiLevelType w:val="multilevel"/>
    <w:tmpl w:val="00000000"/>
    <w:name w:val="AutoList25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81">
    <w:nsid w:val="00000051"/>
    <w:multiLevelType w:val="multilevel"/>
    <w:tmpl w:val="00000000"/>
    <w:name w:val="AutoList254"/>
    <w:lvl w:ilvl="0">
      <w:start w:val="1"/>
      <w:numFmt w:val="upperRoman"/>
      <w:lvlText w:val="%1."/>
      <w:lvlJc w:val="left"/>
    </w:lvl>
    <w:lvl w:ilvl="1">
      <w:start w:val="1"/>
      <w:numFmt w:val="upperRoman"/>
      <w:lvlText w:val="%2."/>
      <w:lvlJc w:val="left"/>
    </w:lvl>
    <w:lvl w:ilvl="2">
      <w:start w:val="1"/>
      <w:numFmt w:val="upperRoman"/>
      <w:lvlText w:val="%3."/>
      <w:lvlJc w:val="left"/>
    </w:lvl>
    <w:lvl w:ilvl="3">
      <w:start w:val="1"/>
      <w:numFmt w:val="upperRoman"/>
      <w:lvlText w:val="%4."/>
      <w:lvlJc w:val="left"/>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82">
    <w:nsid w:val="00000052"/>
    <w:multiLevelType w:val="multilevel"/>
    <w:tmpl w:val="00000000"/>
    <w:name w:val="AutoList36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3">
    <w:nsid w:val="00000053"/>
    <w:multiLevelType w:val="multilevel"/>
    <w:tmpl w:val="00000000"/>
    <w:name w:val="AutoList60"/>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84">
    <w:nsid w:val="00000054"/>
    <w:multiLevelType w:val="multilevel"/>
    <w:tmpl w:val="00000000"/>
    <w:name w:val="AutoList55"/>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lowerLetter"/>
      <w:lvlText w:val="%4."/>
      <w:lvlJc w:val="left"/>
    </w:lvl>
    <w:lvl w:ilvl="4">
      <w:start w:val="1"/>
      <w:numFmt w:val="low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5">
    <w:nsid w:val="00000055"/>
    <w:multiLevelType w:val="multilevel"/>
    <w:tmpl w:val="00000000"/>
    <w:name w:val="AutoList36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6">
    <w:nsid w:val="00000056"/>
    <w:multiLevelType w:val="multilevel"/>
    <w:tmpl w:val="00000000"/>
    <w:name w:val="AutoList23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7">
    <w:nsid w:val="00000057"/>
    <w:multiLevelType w:val="multilevel"/>
    <w:tmpl w:val="00000000"/>
    <w:name w:val="AutoList329"/>
    <w:lvl w:ilvl="0">
      <w:start w:val="1"/>
      <w:numFmt w:val="upperRoman"/>
      <w:lvlText w:val="%1."/>
      <w:lvlJc w:val="left"/>
    </w:lvl>
    <w:lvl w:ilvl="1">
      <w:start w:val="1"/>
      <w:numFmt w:val="upperRoman"/>
      <w:lvlText w:val="%2."/>
      <w:lvlJc w:val="left"/>
    </w:lvl>
    <w:lvl w:ilvl="2">
      <w:start w:val="1"/>
      <w:numFmt w:val="upperRoman"/>
      <w:lvlText w:val="%3."/>
      <w:lvlJc w:val="left"/>
    </w:lvl>
    <w:lvl w:ilvl="3">
      <w:start w:val="1"/>
      <w:numFmt w:val="upperRoman"/>
      <w:lvlText w:val="%4."/>
      <w:lvlJc w:val="left"/>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88">
    <w:nsid w:val="00000058"/>
    <w:multiLevelType w:val="multilevel"/>
    <w:tmpl w:val="00000000"/>
    <w:name w:val="AutoList33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9">
    <w:nsid w:val="00000059"/>
    <w:multiLevelType w:val="multilevel"/>
    <w:tmpl w:val="00000000"/>
    <w:name w:val="AutoList65"/>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Letter"/>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90">
    <w:nsid w:val="0000005A"/>
    <w:multiLevelType w:val="multilevel"/>
    <w:tmpl w:val="00000000"/>
    <w:name w:val="AutoList33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1">
    <w:nsid w:val="0000005B"/>
    <w:multiLevelType w:val="multilevel"/>
    <w:tmpl w:val="00000000"/>
    <w:name w:val="AutoList34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2">
    <w:nsid w:val="0000005C"/>
    <w:multiLevelType w:val="multilevel"/>
    <w:tmpl w:val="00000000"/>
    <w:name w:val="AutoList34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3">
    <w:nsid w:val="0000005D"/>
    <w:multiLevelType w:val="multilevel"/>
    <w:tmpl w:val="00000000"/>
    <w:name w:val="AutoList33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4">
    <w:nsid w:val="0000005E"/>
    <w:multiLevelType w:val="multilevel"/>
    <w:tmpl w:val="00000000"/>
    <w:name w:val="AutoList12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5">
    <w:nsid w:val="0000005F"/>
    <w:multiLevelType w:val="multilevel"/>
    <w:tmpl w:val="00000000"/>
    <w:name w:val="AutoList122"/>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96">
    <w:nsid w:val="00000060"/>
    <w:multiLevelType w:val="multilevel"/>
    <w:tmpl w:val="00000000"/>
    <w:name w:val="AutoList26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7">
    <w:nsid w:val="00000061"/>
    <w:multiLevelType w:val="multilevel"/>
    <w:tmpl w:val="00000000"/>
    <w:name w:val="AutoList9"/>
    <w:lvl w:ilvl="0">
      <w:start w:val="1"/>
      <w:numFmt w:val="decimal"/>
      <w:lvlText w:val="·"/>
      <w:lvlJc w:val="left"/>
    </w:lvl>
    <w:lvl w:ilvl="1">
      <w:start w:val="1"/>
      <w:numFmt w:val="decimal"/>
      <w:lvlText w:val="·"/>
      <w:lvlJc w:val="left"/>
    </w:lvl>
    <w:lvl w:ilvl="2">
      <w:start w:val="1"/>
      <w:numFmt w:val="lowerLetter"/>
      <w:lvlText w:val="(%3)"/>
      <w:lvlJc w:val="left"/>
    </w:lvl>
    <w:lvl w:ilvl="3">
      <w:start w:val="1"/>
      <w:numFmt w:val="lowerLetter"/>
      <w:lvlText w:val="(%4)"/>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98">
    <w:nsid w:val="00000062"/>
    <w:multiLevelType w:val="multilevel"/>
    <w:tmpl w:val="00000000"/>
    <w:name w:val="AutoList26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9">
    <w:nsid w:val="00000063"/>
    <w:multiLevelType w:val="multilevel"/>
    <w:tmpl w:val="00000000"/>
    <w:name w:val="AutoList26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0">
    <w:nsid w:val="00000064"/>
    <w:multiLevelType w:val="multilevel"/>
    <w:tmpl w:val="00000000"/>
    <w:name w:val="AutoList27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1">
    <w:nsid w:val="00000065"/>
    <w:multiLevelType w:val="multilevel"/>
    <w:tmpl w:val="00000000"/>
    <w:name w:val="AutoList27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2">
    <w:nsid w:val="00000066"/>
    <w:multiLevelType w:val="multilevel"/>
    <w:tmpl w:val="00000000"/>
    <w:name w:val="AutoList28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3">
    <w:nsid w:val="00000067"/>
    <w:multiLevelType w:val="multilevel"/>
    <w:tmpl w:val="00000000"/>
    <w:name w:val="AutoList277"/>
    <w:lvl w:ilvl="0">
      <w:start w:val="1"/>
      <w:numFmt w:val="upperLetter"/>
      <w:lvlText w:val="%1."/>
      <w:lvlJc w:val="left"/>
    </w:lvl>
    <w:lvl w:ilvl="1">
      <w:start w:val="1"/>
      <w:numFmt w:val="upperLetter"/>
      <w:lvlText w:val="%2."/>
      <w:lvlJc w:val="left"/>
    </w:lvl>
    <w:lvl w:ilvl="2">
      <w:start w:val="1"/>
      <w:numFmt w:val="low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4">
    <w:nsid w:val="00000068"/>
    <w:multiLevelType w:val="multilevel"/>
    <w:tmpl w:val="00000000"/>
    <w:name w:val="AutoList321"/>
    <w:lvl w:ilvl="0">
      <w:start w:val="1"/>
      <w:numFmt w:val="upperLetter"/>
      <w:lvlText w:val="%1."/>
      <w:lvlJc w:val="left"/>
    </w:lvl>
    <w:lvl w:ilvl="1">
      <w:start w:val="1"/>
      <w:numFmt w:val="upperLetter"/>
      <w:lvlText w:val="%2."/>
      <w:lvlJc w:val="left"/>
    </w:lvl>
    <w:lvl w:ilvl="2">
      <w:start w:val="1"/>
      <w:numFmt w:val="lowerLetter"/>
      <w:lvlText w:val="(%3)"/>
      <w:lvlJc w:val="left"/>
    </w:lvl>
    <w:lvl w:ilvl="3">
      <w:start w:val="1"/>
      <w:numFmt w:val="lowerRoman"/>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5">
    <w:nsid w:val="00000069"/>
    <w:multiLevelType w:val="multilevel"/>
    <w:tmpl w:val="00000000"/>
    <w:name w:val="AutoList313"/>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06">
    <w:nsid w:val="0000006A"/>
    <w:multiLevelType w:val="multilevel"/>
    <w:tmpl w:val="00000000"/>
    <w:name w:val="AutoList314"/>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07">
    <w:nsid w:val="0000006B"/>
    <w:multiLevelType w:val="multilevel"/>
    <w:tmpl w:val="00000000"/>
    <w:name w:val="AutoList31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08">
    <w:nsid w:val="0000006C"/>
    <w:multiLevelType w:val="multilevel"/>
    <w:tmpl w:val="00000000"/>
    <w:name w:val="AutoList318"/>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9">
    <w:nsid w:val="0000006D"/>
    <w:multiLevelType w:val="multilevel"/>
    <w:tmpl w:val="00000000"/>
    <w:name w:val="AutoList311"/>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0">
    <w:nsid w:val="0000006E"/>
    <w:multiLevelType w:val="multilevel"/>
    <w:tmpl w:val="00000000"/>
    <w:name w:val="AutoList31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11">
    <w:nsid w:val="0000006F"/>
    <w:multiLevelType w:val="multilevel"/>
    <w:tmpl w:val="00000000"/>
    <w:name w:val="AutoList30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12">
    <w:nsid w:val="00000070"/>
    <w:multiLevelType w:val="multilevel"/>
    <w:tmpl w:val="00000000"/>
    <w:name w:val="AutoList320"/>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3">
    <w:nsid w:val="00000071"/>
    <w:multiLevelType w:val="multilevel"/>
    <w:tmpl w:val="00000000"/>
    <w:name w:val="AutoList47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4">
    <w:nsid w:val="00000072"/>
    <w:multiLevelType w:val="multilevel"/>
    <w:tmpl w:val="00000000"/>
    <w:name w:val="AutoList476"/>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5">
    <w:nsid w:val="00000073"/>
    <w:multiLevelType w:val="multilevel"/>
    <w:tmpl w:val="00000000"/>
    <w:name w:val="AutoList477"/>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6">
    <w:nsid w:val="00000074"/>
    <w:multiLevelType w:val="multilevel"/>
    <w:tmpl w:val="00000000"/>
    <w:name w:val="AutoList484"/>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7">
    <w:nsid w:val="00000075"/>
    <w:multiLevelType w:val="multilevel"/>
    <w:tmpl w:val="00000000"/>
    <w:name w:val="AutoList305"/>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18">
    <w:nsid w:val="00000076"/>
    <w:multiLevelType w:val="multilevel"/>
    <w:tmpl w:val="00000000"/>
    <w:name w:val="AutoList483"/>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9">
    <w:nsid w:val="00000077"/>
    <w:multiLevelType w:val="multilevel"/>
    <w:tmpl w:val="00000000"/>
    <w:name w:val="AutoList307"/>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20">
    <w:nsid w:val="00000078"/>
    <w:multiLevelType w:val="multilevel"/>
    <w:tmpl w:val="00000000"/>
    <w:name w:val="AutoList30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lowerRoman"/>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21">
    <w:nsid w:val="00000079"/>
    <w:multiLevelType w:val="multilevel"/>
    <w:tmpl w:val="00000000"/>
    <w:name w:val="AutoList419"/>
    <w:lvl w:ilvl="0">
      <w:start w:val="1"/>
      <w:numFmt w:val="upperRoman"/>
      <w:lvlText w:val="%1."/>
      <w:lvlJc w:val="left"/>
    </w:lvl>
    <w:lvl w:ilvl="1">
      <w:start w:val="1"/>
      <w:numFmt w:val="upperRoman"/>
      <w:lvlText w:val="%2."/>
      <w:lvlJc w:val="left"/>
    </w:lvl>
    <w:lvl w:ilvl="2">
      <w:start w:val="1"/>
      <w:numFmt w:val="upperRoman"/>
      <w:lvlText w:val="%3."/>
      <w:lvlJc w:val="left"/>
    </w:lvl>
    <w:lvl w:ilvl="3">
      <w:start w:val="1"/>
      <w:numFmt w:val="upperRoman"/>
      <w:lvlText w:val="%4."/>
      <w:lvlJc w:val="left"/>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122">
    <w:nsid w:val="0000007A"/>
    <w:multiLevelType w:val="multilevel"/>
    <w:tmpl w:val="00000000"/>
    <w:name w:val="AutoList420"/>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123">
    <w:nsid w:val="0000007B"/>
    <w:multiLevelType w:val="multilevel"/>
    <w:tmpl w:val="00000000"/>
    <w:name w:val="AutoList65"/>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Letter"/>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124">
    <w:nsid w:val="0000007C"/>
    <w:multiLevelType w:val="multilevel"/>
    <w:tmpl w:val="00000000"/>
    <w:name w:val="AutoList68"/>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125">
    <w:nsid w:val="0000007D"/>
    <w:multiLevelType w:val="multilevel"/>
    <w:tmpl w:val="00000000"/>
    <w:name w:val="AutoList236"/>
    <w:lvl w:ilvl="0">
      <w:start w:val="1"/>
      <w:numFmt w:val="lowerRoman"/>
      <w:lvlText w:val="%1."/>
      <w:lvlJc w:val="left"/>
    </w:lvl>
    <w:lvl w:ilvl="1">
      <w:start w:val="1"/>
      <w:numFmt w:val="upperLetter"/>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126">
    <w:nsid w:val="0000007E"/>
    <w:multiLevelType w:val="multilevel"/>
    <w:tmpl w:val="00000000"/>
    <w:name w:val="AutoList33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num w:numId="1">
    <w:abstractNumId w:val="1"/>
    <w:lvlOverride w:ilvl="0">
      <w:startOverride w:val="1"/>
      <w:lvl w:ilvl="0">
        <w:start w:val="1"/>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2">
    <w:abstractNumId w:val="2"/>
    <w:lvlOverride w:ilvl="0">
      <w:startOverride w:val="2"/>
      <w:lvl w:ilvl="0">
        <w:start w:val="2"/>
        <w:numFmt w:val="decimal"/>
        <w:lvlText w:val="A-%1_"/>
        <w:lvlJc w:val="left"/>
      </w:lvl>
    </w:lvlOverride>
    <w:lvlOverride w:ilvl="1">
      <w:startOverride w:val="1"/>
      <w:lvl w:ilvl="1">
        <w:start w:val="1"/>
        <w:numFmt w:val="upperLetter"/>
        <w:lvlText w:val="%1-%2_"/>
        <w:lvlJc w:val="left"/>
      </w:lvl>
    </w:lvlOverride>
    <w:lvlOverride w:ilvl="2">
      <w:startOverride w:val="1"/>
      <w:lvl w:ilvl="2">
        <w:start w:val="1"/>
        <w:numFmt w:val="upperLetter"/>
        <w:lvlText w:val="%2-%3_"/>
        <w:lvlJc w:val="left"/>
      </w:lvl>
    </w:lvlOverride>
    <w:lvlOverride w:ilvl="3">
      <w:startOverride w:val="1"/>
      <w:lvl w:ilvl="3">
        <w:start w:val="1"/>
        <w:numFmt w:val="upperLetter"/>
        <w:lvlText w:val="%3-%4_"/>
        <w:lvlJc w:val="left"/>
      </w:lvl>
    </w:lvlOverride>
    <w:lvlOverride w:ilvl="4">
      <w:startOverride w:val="1"/>
      <w:lvl w:ilvl="4">
        <w:start w:val="1"/>
        <w:numFmt w:val="upperLetter"/>
        <w:lvlText w:val="%4-%5_"/>
        <w:lvlJc w:val="left"/>
      </w:lvl>
    </w:lvlOverride>
    <w:lvlOverride w:ilvl="5">
      <w:startOverride w:val="1"/>
      <w:lvl w:ilvl="5">
        <w:start w:val="1"/>
        <w:numFmt w:val="upperLetter"/>
        <w:lvlText w:val="%5-%6_"/>
        <w:lvlJc w:val="left"/>
      </w:lvl>
    </w:lvlOverride>
    <w:lvlOverride w:ilvl="6">
      <w:startOverride w:val="1"/>
      <w:lvl w:ilvl="6">
        <w:start w:val="1"/>
        <w:numFmt w:val="upperLetter"/>
        <w:lvlText w:val="%6-%7_"/>
        <w:lvlJc w:val="left"/>
      </w:lvl>
    </w:lvlOverride>
    <w:lvlOverride w:ilvl="7">
      <w:startOverride w:val="1"/>
      <w:lvl w:ilvl="7">
        <w:start w:val="1"/>
        <w:numFmt w:val="upperLetter"/>
        <w:lvlText w:val="%7-%8_"/>
        <w:lvlJc w:val="left"/>
      </w:lvl>
    </w:lvlOverride>
  </w:num>
  <w:num w:numId="3">
    <w:abstractNumId w:val="3"/>
    <w:lvlOverride w:ilvl="0">
      <w:startOverride w:val="2"/>
      <w:lvl w:ilvl="0">
        <w:start w:val="2"/>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4">
    <w:abstractNumId w:val="5"/>
    <w:lvlOverride w:ilvl="0">
      <w:startOverride w:val="3"/>
      <w:lvl w:ilvl="0">
        <w:start w:val="3"/>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5">
    <w:abstractNumId w:val="6"/>
    <w:lvlOverride w:ilvl="0">
      <w:startOverride w:val="4"/>
      <w:lvl w:ilvl="0">
        <w:start w:val="4"/>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6">
    <w:abstractNumId w:val="8"/>
    <w:lvlOverride w:ilvl="0">
      <w:startOverride w:val="5"/>
      <w:lvl w:ilvl="0">
        <w:start w:val="5"/>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7">
    <w:abstractNumId w:val="14"/>
    <w:lvlOverride w:ilvl="0">
      <w:startOverride w:val="1"/>
      <w:lvl w:ilvl="0">
        <w:start w:val="1"/>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8">
    <w:abstractNumId w:val="16"/>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9">
    <w:abstractNumId w:val="37"/>
    <w:lvlOverride w:ilvl="0">
      <w:startOverride w:val="3"/>
      <w:lvl w:ilvl="0">
        <w:start w:val="3"/>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0">
    <w:abstractNumId w:val="45"/>
    <w:lvlOverride w:ilvl="0">
      <w:startOverride w:val="1"/>
      <w:lvl w:ilvl="0">
        <w:start w:val="1"/>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low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11">
    <w:abstractNumId w:val="46"/>
    <w:lvlOverride w:ilvl="0">
      <w:startOverride w:val="3"/>
      <w:lvl w:ilvl="0">
        <w:start w:val="3"/>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2">
    <w:abstractNumId w:val="52"/>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3">
    <w:abstractNumId w:val="53"/>
    <w:lvlOverride w:ilvl="0">
      <w:startOverride w:val="4"/>
      <w:lvl w:ilvl="0">
        <w:start w:val="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4">
    <w:abstractNumId w:val="53"/>
    <w:lvlOverride w:ilvl="0">
      <w:startOverride w:val="4"/>
      <w:lvl w:ilvl="0">
        <w:start w:val="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5"/>
      <w:lvl w:ilvl="3">
        <w:start w:val="5"/>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5">
    <w:abstractNumId w:val="54"/>
    <w:lvlOverride w:ilvl="0">
      <w:startOverride w:val="10"/>
      <w:lvl w:ilvl="0">
        <w:start w:val="10"/>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6">
    <w:abstractNumId w:val="55"/>
    <w:lvlOverride w:ilvl="0">
      <w:startOverride w:val="11"/>
      <w:lvl w:ilvl="0">
        <w:start w:val="1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7">
    <w:abstractNumId w:val="56"/>
    <w:lvlOverride w:ilvl="0">
      <w:startOverride w:val="12"/>
      <w:lvl w:ilvl="0">
        <w:start w:val="12"/>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8">
    <w:abstractNumId w:val="57"/>
    <w:lvlOverride w:ilvl="0">
      <w:startOverride w:val="13"/>
      <w:lvl w:ilvl="0">
        <w:start w:val="13"/>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9">
    <w:abstractNumId w:val="58"/>
    <w:lvlOverride w:ilvl="0">
      <w:startOverride w:val="14"/>
      <w:lvl w:ilvl="0">
        <w:start w:val="1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upp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0">
    <w:abstractNumId w:val="60"/>
    <w:lvlOverride w:ilvl="0">
      <w:startOverride w:val="2"/>
      <w:lvl w:ilvl="0">
        <w:start w:val="2"/>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1">
    <w:abstractNumId w:val="61"/>
    <w:lvlOverride w:ilvl="0">
      <w:startOverride w:val="6"/>
      <w:lvl w:ilvl="0">
        <w:start w:val="6"/>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2">
    <w:abstractNumId w:val="68"/>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3">
    <w:abstractNumId w:val="69"/>
    <w:lvlOverride w:ilvl="0">
      <w:startOverride w:val="4"/>
      <w:lvl w:ilvl="0">
        <w:start w:val="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4">
    <w:abstractNumId w:val="69"/>
    <w:lvlOverride w:ilvl="0">
      <w:startOverride w:val="4"/>
      <w:lvl w:ilvl="0">
        <w:start w:val="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5">
    <w:abstractNumId w:val="74"/>
    <w:lvlOverride w:ilvl="0">
      <w:startOverride w:val="1"/>
      <w:lvl w:ilvl="0">
        <w:start w:val="1"/>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6">
    <w:abstractNumId w:val="75"/>
    <w:lvlOverride w:ilvl="0">
      <w:startOverride w:val="2"/>
      <w:lvl w:ilvl="0">
        <w:start w:val="2"/>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7">
    <w:abstractNumId w:val="77"/>
    <w:lvlOverride w:ilvl="0">
      <w:startOverride w:val="8"/>
      <w:lvl w:ilvl="0">
        <w:start w:val="8"/>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8">
    <w:abstractNumId w:val="78"/>
    <w:lvlOverride w:ilvl="0">
      <w:startOverride w:val="9"/>
      <w:lvl w:ilvl="0">
        <w:start w:val="9"/>
        <w:numFmt w:val="lowerRoman"/>
        <w:lvlText w:val="%1."/>
        <w:lvlJc w:val="left"/>
      </w:lvl>
    </w:lvlOverride>
    <w:lvlOverride w:ilvl="1">
      <w:startOverride w:val="1"/>
      <w:lvl w:ilvl="1">
        <w:start w:val="1"/>
        <w:numFmt w:val="lowerRoman"/>
        <w:lvlText w:val="%2."/>
        <w:lvlJc w:val="left"/>
      </w:lvl>
    </w:lvlOverride>
    <w:lvlOverride w:ilvl="2">
      <w:startOverride w:val="1"/>
      <w:lvl w:ilvl="2">
        <w:start w:val="1"/>
        <w:numFmt w:val="lowerRoman"/>
        <w:lvlText w:val="%3."/>
        <w:lvlJc w:val="left"/>
      </w:lvl>
    </w:lvlOverride>
    <w:lvlOverride w:ilvl="3">
      <w:startOverride w:val="1"/>
      <w:lvl w:ilvl="3">
        <w:start w:val="1"/>
        <w:numFmt w:val="lowerRoman"/>
        <w:lvlText w:val="%4."/>
        <w:lvlJc w:val="left"/>
      </w:lvl>
    </w:lvlOverride>
    <w:lvlOverride w:ilvl="4">
      <w:startOverride w:val="1"/>
      <w:lvl w:ilvl="4">
        <w:start w:val="1"/>
        <w:numFmt w:val="lowerRoman"/>
        <w:lvlText w:val="%5."/>
        <w:lvlJc w:val="left"/>
      </w:lvl>
    </w:lvlOverride>
    <w:lvlOverride w:ilvl="5">
      <w:startOverride w:val="1"/>
      <w:lvl w:ilvl="5">
        <w:start w:val="1"/>
        <w:numFmt w:val="lowerRoman"/>
        <w:lvlText w:val="%6."/>
        <w:lvlJc w:val="left"/>
      </w:lvl>
    </w:lvlOverride>
    <w:lvlOverride w:ilvl="6">
      <w:startOverride w:val="1"/>
      <w:lvl w:ilvl="6">
        <w:start w:val="1"/>
        <w:numFmt w:val="lowerRoman"/>
        <w:lvlText w:val="%7."/>
        <w:lvlJc w:val="left"/>
      </w:lvl>
    </w:lvlOverride>
    <w:lvlOverride w:ilvl="7">
      <w:startOverride w:val="1"/>
      <w:lvl w:ilvl="7">
        <w:start w:val="1"/>
        <w:numFmt w:val="lowerRoman"/>
        <w:lvlText w:val="%8."/>
        <w:lvlJc w:val="left"/>
      </w:lvl>
    </w:lvlOverride>
  </w:num>
  <w:num w:numId="29">
    <w:abstractNumId w:val="79"/>
    <w:lvlOverride w:ilvl="0">
      <w:startOverride w:val="2"/>
      <w:lvl w:ilvl="0">
        <w:start w:val="2"/>
        <w:numFmt w:val="lowerRoman"/>
        <w:lvlText w:val="%1."/>
        <w:lvlJc w:val="left"/>
      </w:lvl>
    </w:lvlOverride>
    <w:lvlOverride w:ilvl="1">
      <w:startOverride w:val="1"/>
      <w:lvl w:ilvl="1">
        <w:start w:val="1"/>
        <w:numFmt w:val="upperLetter"/>
        <w:lvlText w:val="%2."/>
        <w:lvlJc w:val="left"/>
      </w:lvl>
    </w:lvlOverride>
    <w:lvlOverride w:ilvl="2">
      <w:startOverride w:val="1"/>
      <w:lvl w:ilvl="2">
        <w:start w:val="1"/>
        <w:numFmt w:val="lowerRoman"/>
        <w:lvlText w:val="%3."/>
        <w:lvlJc w:val="left"/>
      </w:lvl>
    </w:lvlOverride>
    <w:lvlOverride w:ilvl="3">
      <w:startOverride w:val="1"/>
      <w:lvl w:ilvl="3">
        <w:start w:val="1"/>
        <w:numFmt w:val="lowerRoman"/>
        <w:lvlText w:val="%4."/>
        <w:lvlJc w:val="left"/>
      </w:lvl>
    </w:lvlOverride>
    <w:lvlOverride w:ilvl="4">
      <w:startOverride w:val="1"/>
      <w:lvl w:ilvl="4">
        <w:start w:val="1"/>
        <w:numFmt w:val="lowerRoman"/>
        <w:lvlText w:val="%5."/>
        <w:lvlJc w:val="left"/>
      </w:lvl>
    </w:lvlOverride>
    <w:lvlOverride w:ilvl="5">
      <w:startOverride w:val="1"/>
      <w:lvl w:ilvl="5">
        <w:start w:val="1"/>
        <w:numFmt w:val="lowerRoman"/>
        <w:lvlText w:val="%6."/>
        <w:lvlJc w:val="left"/>
      </w:lvl>
    </w:lvlOverride>
    <w:lvlOverride w:ilvl="6">
      <w:startOverride w:val="1"/>
      <w:lvl w:ilvl="6">
        <w:start w:val="1"/>
        <w:numFmt w:val="lowerRoman"/>
        <w:lvlText w:val="%7."/>
        <w:lvlJc w:val="left"/>
      </w:lvl>
    </w:lvlOverride>
    <w:lvlOverride w:ilvl="7">
      <w:startOverride w:val="1"/>
      <w:lvl w:ilvl="7">
        <w:start w:val="1"/>
        <w:numFmt w:val="lowerRoman"/>
        <w:lvlText w:val="%8."/>
        <w:lvlJc w:val="left"/>
      </w:lvl>
    </w:lvlOverride>
  </w:num>
  <w:num w:numId="30">
    <w:abstractNumId w:val="95"/>
    <w:lvlOverride w:ilvl="0">
      <w:startOverride w:val="2"/>
      <w:lvl w:ilvl="0">
        <w:start w:val="2"/>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1">
    <w:abstractNumId w:val="38"/>
    <w:lvlOverride w:ilvl="0">
      <w:startOverride w:val="1"/>
      <w:lvl w:ilvl="0">
        <w:start w:val="1"/>
        <w:numFmt w:val="decimal"/>
        <w:lvlText w:val="·"/>
        <w:lvlJc w:val="left"/>
      </w:lvl>
    </w:lvlOverride>
    <w:lvlOverride w:ilvl="1">
      <w:startOverride w:val="1"/>
      <w:lvl w:ilvl="1">
        <w:start w:val="1"/>
        <w:numFmt w:val="decimal"/>
        <w:lvlText w:val="·"/>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num>
  <w:num w:numId="32">
    <w:abstractNumId w:val="104"/>
    <w:lvlOverride w:ilvl="0">
      <w:startOverride w:val="1"/>
      <w:lvl w:ilvl="0">
        <w:start w:val="1"/>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Roman"/>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33">
    <w:abstractNumId w:val="104"/>
    <w:lvlOverride w:ilvl="0">
      <w:startOverride w:val="1"/>
      <w:lvl w:ilvl="0">
        <w:start w:val="1"/>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Roman"/>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34">
    <w:abstractNumId w:val="112"/>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5">
    <w:abstractNumId w:val="113"/>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2"/>
      <w:lvl w:ilvl="2">
        <w:start w:val="2"/>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6">
    <w:abstractNumId w:val="115"/>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4"/>
      <w:lvl w:ilvl="2">
        <w:start w:val="4"/>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7">
    <w:abstractNumId w:val="116"/>
    <w:lvlOverride w:ilvl="0">
      <w:startOverride w:val="5"/>
      <w:lvl w:ilvl="0">
        <w:start w:val="5"/>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8">
    <w:abstractNumId w:val="121"/>
    <w:lvlOverride w:ilvl="0">
      <w:startOverride w:val="1"/>
      <w:lvl w:ilvl="0">
        <w:start w:val="1"/>
        <w:numFmt w:val="upperRoman"/>
        <w:lvlText w:val="%1."/>
        <w:lvlJc w:val="left"/>
      </w:lvl>
    </w:lvlOverride>
    <w:lvlOverride w:ilvl="1">
      <w:startOverride w:val="1"/>
      <w:lvl w:ilvl="1">
        <w:start w:val="1"/>
        <w:numFmt w:val="upperRoman"/>
        <w:lvlText w:val="%2."/>
        <w:lvlJc w:val="left"/>
      </w:lvl>
    </w:lvlOverride>
    <w:lvlOverride w:ilvl="2">
      <w:startOverride w:val="1"/>
      <w:lvl w:ilvl="2">
        <w:start w:val="1"/>
        <w:numFmt w:val="upperRoman"/>
        <w:lvlText w:val="%3."/>
        <w:lvlJc w:val="left"/>
      </w:lvl>
    </w:lvlOverride>
    <w:lvlOverride w:ilvl="3">
      <w:startOverride w:val="1"/>
      <w:lvl w:ilvl="3">
        <w:start w:val="1"/>
        <w:numFmt w:val="upperRoman"/>
        <w:lvlText w:val="%4."/>
        <w:lvlJc w:val="left"/>
      </w:lvl>
    </w:lvlOverride>
    <w:lvlOverride w:ilvl="4">
      <w:startOverride w:val="1"/>
      <w:lvl w:ilvl="4">
        <w:start w:val="1"/>
        <w:numFmt w:val="upperRoman"/>
        <w:lvlText w:val="%5."/>
        <w:lvlJc w:val="left"/>
      </w:lvl>
    </w:lvlOverride>
    <w:lvlOverride w:ilvl="5">
      <w:startOverride w:val="1"/>
      <w:lvl w:ilvl="5">
        <w:start w:val="1"/>
        <w:numFmt w:val="upperRoman"/>
        <w:lvlText w:val="%6."/>
        <w:lvlJc w:val="left"/>
      </w:lvl>
    </w:lvlOverride>
    <w:lvlOverride w:ilvl="6">
      <w:startOverride w:val="1"/>
      <w:lvl w:ilvl="6">
        <w:start w:val="1"/>
        <w:numFmt w:val="upperRoman"/>
        <w:lvlText w:val="%7."/>
        <w:lvlJc w:val="left"/>
      </w:lvl>
    </w:lvlOverride>
    <w:lvlOverride w:ilvl="7">
      <w:startOverride w:val="1"/>
      <w:lvl w:ilvl="7">
        <w:start w:val="1"/>
        <w:numFmt w:val="upperRoman"/>
        <w:lvlText w:val="%8."/>
        <w:lvlJc w:val="left"/>
      </w:lvl>
    </w:lvlOverride>
  </w:num>
  <w:num w:numId="39">
    <w:abstractNumId w:val="122"/>
    <w:lvlOverride w:ilvl="0">
      <w:startOverride w:val="1"/>
      <w:lvl w:ilvl="0">
        <w:start w:val="1"/>
        <w:numFmt w:val="lowerRoman"/>
        <w:lvlText w:val="%1."/>
        <w:lvlJc w:val="left"/>
      </w:lvl>
    </w:lvlOverride>
    <w:lvlOverride w:ilvl="1">
      <w:startOverride w:val="1"/>
      <w:lvl w:ilvl="1">
        <w:start w:val="1"/>
        <w:numFmt w:val="lowerRoman"/>
        <w:lvlText w:val="%2."/>
        <w:lvlJc w:val="left"/>
      </w:lvl>
    </w:lvlOverride>
    <w:lvlOverride w:ilvl="2">
      <w:startOverride w:val="1"/>
      <w:lvl w:ilvl="2">
        <w:start w:val="1"/>
        <w:numFmt w:val="lowerRoman"/>
        <w:lvlText w:val="%3."/>
        <w:lvlJc w:val="left"/>
      </w:lvl>
    </w:lvlOverride>
    <w:lvlOverride w:ilvl="3">
      <w:startOverride w:val="1"/>
      <w:lvl w:ilvl="3">
        <w:start w:val="1"/>
        <w:numFmt w:val="lowerRoman"/>
        <w:lvlText w:val="%4."/>
        <w:lvlJc w:val="left"/>
      </w:lvl>
    </w:lvlOverride>
    <w:lvlOverride w:ilvl="4">
      <w:startOverride w:val="1"/>
      <w:lvl w:ilvl="4">
        <w:start w:val="1"/>
        <w:numFmt w:val="lowerRoman"/>
        <w:lvlText w:val="%5."/>
        <w:lvlJc w:val="left"/>
      </w:lvl>
    </w:lvlOverride>
    <w:lvlOverride w:ilvl="5">
      <w:startOverride w:val="1"/>
      <w:lvl w:ilvl="5">
        <w:start w:val="1"/>
        <w:numFmt w:val="lowerRoman"/>
        <w:lvlText w:val="%6."/>
        <w:lvlJc w:val="left"/>
      </w:lvl>
    </w:lvlOverride>
    <w:lvlOverride w:ilvl="6">
      <w:startOverride w:val="1"/>
      <w:lvl w:ilvl="6">
        <w:start w:val="1"/>
        <w:numFmt w:val="lowerRoman"/>
        <w:lvlText w:val="%7."/>
        <w:lvlJc w:val="left"/>
      </w:lvl>
    </w:lvlOverride>
    <w:lvlOverride w:ilvl="7">
      <w:startOverride w:val="1"/>
      <w:lvl w:ilvl="7">
        <w:start w:val="1"/>
        <w:numFmt w:val="lowerRoman"/>
        <w:lvlText w:val="%8."/>
        <w:lvlJc w:val="left"/>
      </w:lvl>
    </w:lvlOverride>
  </w:num>
  <w:num w:numId="40">
    <w:abstractNumId w:val="79"/>
    <w:lvlOverride w:ilvl="0">
      <w:startOverride w:val="2"/>
      <w:lvl w:ilvl="0">
        <w:start w:val="2"/>
        <w:numFmt w:val="lowerRoman"/>
        <w:lvlText w:val="%1."/>
        <w:lvlJc w:val="left"/>
      </w:lvl>
    </w:lvlOverride>
    <w:lvlOverride w:ilvl="1">
      <w:startOverride w:val="1"/>
      <w:lvl w:ilvl="1">
        <w:start w:val="1"/>
        <w:numFmt w:val="upperLetter"/>
        <w:lvlText w:val="%2."/>
        <w:lvlJc w:val="left"/>
      </w:lvl>
    </w:lvlOverride>
    <w:lvlOverride w:ilvl="2">
      <w:startOverride w:val="1"/>
      <w:lvl w:ilvl="2">
        <w:start w:val="1"/>
        <w:numFmt w:val="lowerRoman"/>
        <w:lvlText w:val="%3."/>
        <w:lvlJc w:val="left"/>
      </w:lvl>
    </w:lvlOverride>
    <w:lvlOverride w:ilvl="3">
      <w:startOverride w:val="1"/>
      <w:lvl w:ilvl="3">
        <w:start w:val="1"/>
        <w:numFmt w:val="lowerRoman"/>
        <w:lvlText w:val="%4."/>
        <w:lvlJc w:val="left"/>
      </w:lvl>
    </w:lvlOverride>
    <w:lvlOverride w:ilvl="4">
      <w:startOverride w:val="1"/>
      <w:lvl w:ilvl="4">
        <w:start w:val="1"/>
        <w:numFmt w:val="lowerRoman"/>
        <w:lvlText w:val="%5."/>
        <w:lvlJc w:val="left"/>
      </w:lvl>
    </w:lvlOverride>
    <w:lvlOverride w:ilvl="5">
      <w:startOverride w:val="1"/>
      <w:lvl w:ilvl="5">
        <w:start w:val="1"/>
        <w:numFmt w:val="lowerRoman"/>
        <w:lvlText w:val="%6."/>
        <w:lvlJc w:val="left"/>
      </w:lvl>
    </w:lvlOverride>
    <w:lvlOverride w:ilvl="6">
      <w:startOverride w:val="1"/>
      <w:lvl w:ilvl="6">
        <w:start w:val="1"/>
        <w:numFmt w:val="lowerRoman"/>
        <w:lvlText w:val="%7."/>
        <w:lvlJc w:val="left"/>
      </w:lvl>
    </w:lvlOverride>
    <w:lvlOverride w:ilvl="7">
      <w:startOverride w:val="1"/>
      <w:lvl w:ilvl="7">
        <w:start w:val="1"/>
        <w:numFmt w:val="lowerRoman"/>
        <w:lvlText w:val="%8."/>
        <w:lvlJc w:val="left"/>
      </w:lvl>
    </w:lvlOverride>
  </w:num>
  <w:num w:numId="41">
    <w:abstractNumId w:val="0"/>
    <w:lvlOverride w:ilvl="0">
      <w:lvl w:ilvl="0">
        <w:numFmt w:val="bullet"/>
        <w:lvlText w:val=""/>
        <w:legacy w:legacy="1" w:legacySpace="0" w:legacyIndent="180"/>
        <w:lvlJc w:val="left"/>
        <w:pPr>
          <w:ind w:left="540" w:hanging="180"/>
        </w:pPr>
        <w:rPr>
          <w:rFonts w:ascii="Symbol" w:hAnsi="Symbol" w:hint="default"/>
        </w:rPr>
      </w:lvl>
    </w:lvlOverride>
  </w:num>
  <w:num w:numId="42">
    <w:abstractNumId w:val="76"/>
  </w:num>
  <w:num w:numId="43">
    <w:abstractNumId w:val="95"/>
  </w:num>
  <w:num w:numId="44">
    <w:abstractNumId w:val="38"/>
  </w:num>
  <w:num w:numId="45">
    <w:abstractNumId w:val="1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0636"/>
    <w:rsid w:val="001F0636"/>
    <w:rsid w:val="00AD1EE9"/>
    <w:rsid w:val="00AE7C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pPr>
      <w:widowControl w:val="0"/>
      <w:autoSpaceDE w:val="0"/>
      <w:autoSpaceDN w:val="0"/>
      <w:adjustRightInd w:val="0"/>
      <w:spacing w:after="0" w:line="240" w:lineRule="auto"/>
    </w:pPr>
    <w:rPr>
      <w:rFonts w:ascii="Ebrima" w:hAnsi="Ebrim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style>
  <w:style w:type="paragraph" w:customStyle="1" w:styleId="Level1">
    <w:name w:val="Level 1"/>
    <w:basedOn w:val="Normal"/>
    <w:uiPriority w:val="99"/>
    <w:pPr>
      <w:numPr>
        <w:numId w:val="40"/>
      </w:numPr>
      <w:ind w:left="720" w:hanging="180"/>
      <w:outlineLvl w:val="0"/>
    </w:pPr>
  </w:style>
  <w:style w:type="character" w:customStyle="1" w:styleId="Hypertext">
    <w:name w:val="Hypertext"/>
    <w:uiPriority w:val="99"/>
    <w:rPr>
      <w:color w:val="0000FF"/>
      <w:u w:val="single"/>
    </w:rPr>
  </w:style>
  <w:style w:type="paragraph" w:customStyle="1" w:styleId="Level5">
    <w:name w:val="Level 5"/>
    <w:basedOn w:val="Normal"/>
    <w:uiPriority w:val="99"/>
    <w:pPr>
      <w:numPr>
        <w:ilvl w:val="4"/>
        <w:numId w:val="12"/>
      </w:numPr>
      <w:ind w:left="540" w:hanging="180"/>
      <w:outlineLvl w:val="4"/>
    </w:pPr>
  </w:style>
  <w:style w:type="paragraph" w:customStyle="1" w:styleId="Level4">
    <w:name w:val="Level 4"/>
    <w:basedOn w:val="Normal"/>
    <w:uiPriority w:val="99"/>
    <w:pPr>
      <w:numPr>
        <w:ilvl w:val="3"/>
        <w:numId w:val="33"/>
      </w:numPr>
      <w:ind w:left="540" w:hanging="180"/>
      <w:outlineLvl w:val="3"/>
    </w:pPr>
  </w:style>
  <w:style w:type="paragraph" w:customStyle="1" w:styleId="Level6">
    <w:name w:val="Level 6"/>
    <w:basedOn w:val="Normal"/>
    <w:uiPriority w:val="99"/>
    <w:pPr>
      <w:numPr>
        <w:ilvl w:val="5"/>
        <w:numId w:val="22"/>
      </w:numPr>
      <w:ind w:left="720" w:hanging="180"/>
      <w:outlineLvl w:val="5"/>
    </w:pPr>
  </w:style>
  <w:style w:type="paragraph" w:customStyle="1" w:styleId="a">
    <w:name w:val="_"/>
    <w:basedOn w:val="Normal"/>
    <w:uiPriority w:val="99"/>
    <w:pPr>
      <w:ind w:left="720" w:hanging="180"/>
    </w:pPr>
  </w:style>
  <w:style w:type="paragraph" w:customStyle="1" w:styleId="Level3">
    <w:name w:val="Level 3"/>
    <w:basedOn w:val="Normal"/>
    <w:uiPriority w:val="99"/>
    <w:pPr>
      <w:numPr>
        <w:ilvl w:val="2"/>
        <w:numId w:val="36"/>
      </w:numPr>
      <w:ind w:left="270" w:hanging="90"/>
      <w:outlineLvl w:val="2"/>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pPr>
      <w:widowControl w:val="0"/>
      <w:autoSpaceDE w:val="0"/>
      <w:autoSpaceDN w:val="0"/>
      <w:adjustRightInd w:val="0"/>
      <w:spacing w:after="0" w:line="240" w:lineRule="auto"/>
    </w:pPr>
    <w:rPr>
      <w:rFonts w:ascii="Ebrima" w:hAnsi="Ebrim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style>
  <w:style w:type="paragraph" w:customStyle="1" w:styleId="Level1">
    <w:name w:val="Level 1"/>
    <w:basedOn w:val="Normal"/>
    <w:uiPriority w:val="99"/>
    <w:pPr>
      <w:numPr>
        <w:numId w:val="40"/>
      </w:numPr>
      <w:ind w:left="720" w:hanging="180"/>
      <w:outlineLvl w:val="0"/>
    </w:pPr>
  </w:style>
  <w:style w:type="character" w:customStyle="1" w:styleId="Hypertext">
    <w:name w:val="Hypertext"/>
    <w:uiPriority w:val="99"/>
    <w:rPr>
      <w:color w:val="0000FF"/>
      <w:u w:val="single"/>
    </w:rPr>
  </w:style>
  <w:style w:type="paragraph" w:customStyle="1" w:styleId="Level5">
    <w:name w:val="Level 5"/>
    <w:basedOn w:val="Normal"/>
    <w:uiPriority w:val="99"/>
    <w:pPr>
      <w:numPr>
        <w:ilvl w:val="4"/>
        <w:numId w:val="12"/>
      </w:numPr>
      <w:ind w:left="540" w:hanging="180"/>
      <w:outlineLvl w:val="4"/>
    </w:pPr>
  </w:style>
  <w:style w:type="paragraph" w:customStyle="1" w:styleId="Level4">
    <w:name w:val="Level 4"/>
    <w:basedOn w:val="Normal"/>
    <w:uiPriority w:val="99"/>
    <w:pPr>
      <w:numPr>
        <w:ilvl w:val="3"/>
        <w:numId w:val="33"/>
      </w:numPr>
      <w:ind w:left="540" w:hanging="180"/>
      <w:outlineLvl w:val="3"/>
    </w:pPr>
  </w:style>
  <w:style w:type="paragraph" w:customStyle="1" w:styleId="Level6">
    <w:name w:val="Level 6"/>
    <w:basedOn w:val="Normal"/>
    <w:uiPriority w:val="99"/>
    <w:pPr>
      <w:numPr>
        <w:ilvl w:val="5"/>
        <w:numId w:val="22"/>
      </w:numPr>
      <w:ind w:left="720" w:hanging="180"/>
      <w:outlineLvl w:val="5"/>
    </w:pPr>
  </w:style>
  <w:style w:type="paragraph" w:customStyle="1" w:styleId="a">
    <w:name w:val="_"/>
    <w:basedOn w:val="Normal"/>
    <w:uiPriority w:val="99"/>
    <w:pPr>
      <w:ind w:left="720" w:hanging="180"/>
    </w:pPr>
  </w:style>
  <w:style w:type="paragraph" w:customStyle="1" w:styleId="Level3">
    <w:name w:val="Level 3"/>
    <w:basedOn w:val="Normal"/>
    <w:uiPriority w:val="99"/>
    <w:pPr>
      <w:numPr>
        <w:ilvl w:val="2"/>
        <w:numId w:val="36"/>
      </w:numPr>
      <w:ind w:left="270" w:hanging="90"/>
      <w:outlineLvl w:val="2"/>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81</Pages>
  <Words>68268</Words>
  <Characters>389128</Characters>
  <Application>Microsoft Office Word</Application>
  <DocSecurity>0</DocSecurity>
  <Lines>3242</Lines>
  <Paragraphs>912</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456484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Barlow, Peter H</dc:creator>
  <cp:lastModifiedBy>Barlow, Peter H</cp:lastModifiedBy>
  <cp:revision>2</cp:revision>
  <dcterms:created xsi:type="dcterms:W3CDTF">2016-07-06T14:32:00Z</dcterms:created>
  <dcterms:modified xsi:type="dcterms:W3CDTF">2016-07-06T14:32:00Z</dcterms:modified>
</cp:coreProperties>
</file>