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1A98" w:rsidRPr="00CE1A98" w:rsidRDefault="00CE1A98" w:rsidP="00CE1A98">
      <w:pPr>
        <w:jc w:val="center"/>
      </w:pPr>
      <w:bookmarkStart w:id="0" w:name="_GoBack"/>
      <w:bookmarkEnd w:id="0"/>
      <w:r w:rsidRPr="00CE1A98">
        <w:t xml:space="preserve">JTF White Paper on Oil, Gas, and Mineral Extraction on Lands Purchased with </w:t>
      </w:r>
    </w:p>
    <w:p w:rsidR="00CE1A98" w:rsidRPr="00CE1A98" w:rsidRDefault="00A7627F" w:rsidP="00CE1A98">
      <w:pPr>
        <w:jc w:val="center"/>
      </w:pPr>
      <w:r>
        <w:t>WSFR F</w:t>
      </w:r>
      <w:r w:rsidR="00CE1A98" w:rsidRPr="00CE1A98">
        <w:t>unds and State License Revenue</w:t>
      </w:r>
    </w:p>
    <w:p w:rsidR="00CE1A98" w:rsidRDefault="00CE1A98" w:rsidP="00CE1A98">
      <w:pPr>
        <w:jc w:val="center"/>
      </w:pPr>
    </w:p>
    <w:p w:rsidR="00CE1A98" w:rsidRDefault="00CE1A98" w:rsidP="00CE1A98">
      <w:pPr>
        <w:jc w:val="center"/>
      </w:pPr>
    </w:p>
    <w:p w:rsidR="00CE1A98" w:rsidRDefault="00CE1A98" w:rsidP="00CE1A98">
      <w:r>
        <w:t>The extraction of Oil, Gas, and Mineral (OGM) reserves from lands acquired with WSFR funds produces revenues</w:t>
      </w:r>
      <w:r w:rsidR="00AA6264">
        <w:t>, which may include lease payments, royalty payments, and bonuses</w:t>
      </w:r>
      <w:r>
        <w:t>.  In cases where the subsurface OGM rights are held by the State fish and wildlife agency, the revenues derived must be handled according to federal regulations under 50 CFR Part 80, or in some instances, 2 CFR Part 200.  How these revenues are handled ultimately involves a determination as to whether the OGM sale represents a sale of personal property or a disposal of real property.</w:t>
      </w:r>
    </w:p>
    <w:p w:rsidR="00CE1A98" w:rsidRDefault="00CE1A98" w:rsidP="00CE1A98"/>
    <w:p w:rsidR="00CE1A98" w:rsidRDefault="00CE1A98" w:rsidP="00CE1A98">
      <w:r>
        <w:t>The following guidance is contained within 50 CFR Part 80:</w:t>
      </w:r>
    </w:p>
    <w:p w:rsidR="00CE1A98" w:rsidRDefault="00CE1A98" w:rsidP="00CE1A98"/>
    <w:p w:rsidR="00CE1A98" w:rsidRDefault="00CE1A98" w:rsidP="00CE1A98">
      <w:pPr>
        <w:pStyle w:val="ListParagraph"/>
        <w:numPr>
          <w:ilvl w:val="0"/>
          <w:numId w:val="1"/>
        </w:numPr>
      </w:pPr>
      <w:r>
        <w:t xml:space="preserve">80.2 </w:t>
      </w:r>
      <w:r>
        <w:rPr>
          <w:i/>
        </w:rPr>
        <w:t>Personal property</w:t>
      </w:r>
      <w:r>
        <w:t xml:space="preserve"> includes soil, rock, gravel, minerals, gas, oil, or water after excavation or extraction from the surface or subsurface.</w:t>
      </w:r>
    </w:p>
    <w:p w:rsidR="00CE1A98" w:rsidRDefault="00CE1A98" w:rsidP="00CE1A98">
      <w:pPr>
        <w:pStyle w:val="ListParagraph"/>
      </w:pPr>
    </w:p>
    <w:p w:rsidR="00CE1A98" w:rsidRDefault="00CE1A98" w:rsidP="00CE1A98">
      <w:pPr>
        <w:pStyle w:val="ListParagraph"/>
        <w:numPr>
          <w:ilvl w:val="0"/>
          <w:numId w:val="1"/>
        </w:numPr>
      </w:pPr>
      <w:r>
        <w:t xml:space="preserve">80.2 </w:t>
      </w:r>
      <w:r>
        <w:rPr>
          <w:i/>
        </w:rPr>
        <w:t>Real property</w:t>
      </w:r>
      <w:r>
        <w:t xml:space="preserve"> includes mineral rights.</w:t>
      </w:r>
    </w:p>
    <w:p w:rsidR="00CE1A98" w:rsidRDefault="00CE1A98" w:rsidP="00CE1A98">
      <w:pPr>
        <w:pStyle w:val="ListParagraph"/>
      </w:pPr>
    </w:p>
    <w:p w:rsidR="00CE1A98" w:rsidRDefault="00CE1A98" w:rsidP="00CE1A98">
      <w:pPr>
        <w:pStyle w:val="ListParagraph"/>
        <w:numPr>
          <w:ilvl w:val="0"/>
          <w:numId w:val="1"/>
        </w:numPr>
      </w:pPr>
      <w:r>
        <w:t>80.20 and 80.21 provide that hunting and fishing license revenue includes income from the sale, lease, or rental of, granting rights to, or a fee for access to real or personal property acquired or constructed with license revenue and that if a State diverts such license revenues from the control of the State fish and wildlife agency to purposes other than the agency’s administration that the Director of the FWS may declare a State to be in diversion and ineligible to receive benefits under the relevant Act.</w:t>
      </w:r>
    </w:p>
    <w:p w:rsidR="00CE1A98" w:rsidRDefault="00CE1A98" w:rsidP="00CE1A98">
      <w:pPr>
        <w:pStyle w:val="ListParagraph"/>
      </w:pPr>
    </w:p>
    <w:p w:rsidR="00CE1A98" w:rsidRDefault="00CE1A98" w:rsidP="00CE1A98">
      <w:pPr>
        <w:pStyle w:val="ListParagraph"/>
        <w:numPr>
          <w:ilvl w:val="0"/>
          <w:numId w:val="1"/>
        </w:numPr>
      </w:pPr>
      <w:r>
        <w:t xml:space="preserve">80.120 - 80.126 provide guidance on </w:t>
      </w:r>
      <w:r>
        <w:rPr>
          <w:i/>
        </w:rPr>
        <w:t>Program Income</w:t>
      </w:r>
      <w:r>
        <w:t xml:space="preserve">.  Essentially, income received by the grantee that is an incidental result of the grant </w:t>
      </w:r>
      <w:r>
        <w:rPr>
          <w:u w:val="single"/>
        </w:rPr>
        <w:t>during the grant period</w:t>
      </w:r>
      <w:r>
        <w:t xml:space="preserve"> is Program Income and must be disposed of by applying it to a subsequent grant (80.124).  If the income is earned after the close of the grant period, it must be treated as either license revenue (80.125.1), or additional funding for purposes consistent with the grant or program (80.125.2).</w:t>
      </w:r>
    </w:p>
    <w:p w:rsidR="00CE1A98" w:rsidRDefault="00CE1A98" w:rsidP="00CE1A98">
      <w:pPr>
        <w:pStyle w:val="ListParagraph"/>
      </w:pPr>
    </w:p>
    <w:p w:rsidR="00CE1A98" w:rsidRPr="00785E69" w:rsidRDefault="00CE1A98" w:rsidP="00CE1A98">
      <w:pPr>
        <w:pStyle w:val="ListParagraph"/>
        <w:numPr>
          <w:ilvl w:val="0"/>
          <w:numId w:val="1"/>
        </w:numPr>
      </w:pPr>
      <w:r>
        <w:t xml:space="preserve">80.134(d) permits a State agency to allow commercial </w:t>
      </w:r>
      <w:r w:rsidRPr="00F576D1">
        <w:t>uses</w:t>
      </w:r>
      <w:r>
        <w:t xml:space="preserve"> on real property</w:t>
      </w:r>
      <w:r w:rsidRPr="00F576D1">
        <w:t xml:space="preserve"> </w:t>
      </w:r>
      <w:r w:rsidRPr="00785E69">
        <w:t>if they do not interfere with the authorized purpose of the grant.</w:t>
      </w:r>
    </w:p>
    <w:p w:rsidR="00CE1A98" w:rsidRDefault="00CE1A98" w:rsidP="00CE1A98">
      <w:pPr>
        <w:pStyle w:val="ListParagraph"/>
        <w:ind w:left="0"/>
      </w:pPr>
    </w:p>
    <w:p w:rsidR="00CE1A98" w:rsidRDefault="00CE1A98" w:rsidP="00CE1A98">
      <w:pPr>
        <w:pStyle w:val="ListParagraph"/>
        <w:numPr>
          <w:ilvl w:val="0"/>
          <w:numId w:val="1"/>
        </w:numPr>
      </w:pPr>
      <w:r>
        <w:t>80.134 and 80.135 in general require property purchased with grant funds to be administered for the purposes authorized in the gr</w:t>
      </w:r>
      <w:r w:rsidR="002314AA">
        <w:t xml:space="preserve">ant and if it is used for </w:t>
      </w:r>
      <w:r>
        <w:t xml:space="preserve">purposes </w:t>
      </w:r>
      <w:r w:rsidR="002314AA">
        <w:t>other than</w:t>
      </w:r>
      <w:r>
        <w:t xml:space="preserve"> </w:t>
      </w:r>
      <w:r w:rsidR="002314AA">
        <w:t xml:space="preserve">the </w:t>
      </w:r>
      <w:r>
        <w:t xml:space="preserve">original use </w:t>
      </w:r>
      <w:r w:rsidR="008A726E">
        <w:t xml:space="preserve">the property </w:t>
      </w:r>
      <w:r>
        <w:t>must be restored to its intended use or replaced by lands of equal monetary and wildlife values.</w:t>
      </w:r>
    </w:p>
    <w:p w:rsidR="00CE1A98" w:rsidRDefault="00CE1A98" w:rsidP="00CE1A98">
      <w:pPr>
        <w:pStyle w:val="ListParagraph"/>
        <w:ind w:left="0"/>
      </w:pPr>
    </w:p>
    <w:p w:rsidR="00CE1A98" w:rsidRDefault="00CE1A98" w:rsidP="00CE1A98">
      <w:pPr>
        <w:pStyle w:val="ListParagraph"/>
        <w:numPr>
          <w:ilvl w:val="0"/>
          <w:numId w:val="1"/>
        </w:numPr>
      </w:pPr>
      <w:r>
        <w:t>80.137 requires that if the State fish and wildlife agency and the Regional Director jointly decide that lands are no longer needed for the purpose for which they were acquired then disposition instructions shall be given under the process described at 43 CFR 12.71, which has been superseded by 2 CFR 200.311.</w:t>
      </w:r>
    </w:p>
    <w:p w:rsidR="00CE1A98" w:rsidRDefault="00CE1A98" w:rsidP="00CE1A98"/>
    <w:p w:rsidR="00CE1A98" w:rsidRDefault="00CE1A98" w:rsidP="00CE1A98">
      <w:r>
        <w:lastRenderedPageBreak/>
        <w:t xml:space="preserve">In order for the sale of OGM products to be considered personal property and the revenue treated as license revenue or program income, the agreement authorizing the extraction must not represent a disposal of real property.  </w:t>
      </w:r>
      <w:r w:rsidR="001727E1">
        <w:t>Generally agreements that would not likely be considered to represent a disposal of real property would include</w:t>
      </w:r>
      <w:r>
        <w:t xml:space="preserve"> license</w:t>
      </w:r>
      <w:r w:rsidR="001727E1">
        <w:t>s</w:t>
      </w:r>
      <w:r>
        <w:t>, cooperative agreement</w:t>
      </w:r>
      <w:r w:rsidR="001727E1">
        <w:t xml:space="preserve">s, or similar </w:t>
      </w:r>
      <w:r>
        <w:t>covenant</w:t>
      </w:r>
      <w:r w:rsidR="001727E1">
        <w:t>s</w:t>
      </w:r>
      <w:r w:rsidR="00B03D6E">
        <w:t>.</w:t>
      </w:r>
      <w:r>
        <w:t xml:space="preserve">    </w:t>
      </w:r>
    </w:p>
    <w:p w:rsidR="00CE1A98" w:rsidRDefault="00CE1A98" w:rsidP="00CE1A98"/>
    <w:p w:rsidR="00CE1A98" w:rsidRDefault="00CE1A98" w:rsidP="00CE1A98">
      <w:r>
        <w:t xml:space="preserve">The determination of whether the extracted resources represent personal property or real property ultimately will depend on an interpretation of State property law.  Ideally, the State’s Attorney General will provide an opinion to the State fish and wildlife agency and WSFR. The Solicitor’s Office of the Department of the Interior </w:t>
      </w:r>
      <w:r w:rsidR="00785E69">
        <w:t xml:space="preserve">(“SOL”) </w:t>
      </w:r>
      <w:r>
        <w:t xml:space="preserve">must then be able to concur with the opinion for it to be determinative of the legal status of the extracted resources.  Absent a State-specific determination to the contrary, </w:t>
      </w:r>
      <w:r w:rsidR="00785E69">
        <w:t xml:space="preserve">concurred in by SOL, </w:t>
      </w:r>
      <w:r>
        <w:t>a lease would represent a transfer of real property rights, and therefore a disposal.  If the agreement represents a disposal of real property, the granting agency, (USFWS) would receive a proportion of the revenues equal to the proportion of federal funding used in the acquisition of the property (2 CFR 200.311(c)(2)).</w:t>
      </w:r>
    </w:p>
    <w:p w:rsidR="00CE1A98" w:rsidRDefault="00CE1A98" w:rsidP="00CE1A98"/>
    <w:p w:rsidR="00CE1A98" w:rsidRDefault="00CE1A98" w:rsidP="00CE1A98">
      <w:r>
        <w:t xml:space="preserve">In many cases, the actual extraction occurs on lands adjacent to State lands through directional drilling, and results in no surface impacts to WSFR acquired property. However, </w:t>
      </w:r>
      <w:r w:rsidR="00AA6264">
        <w:t>impacts of directional drilling must</w:t>
      </w:r>
      <w:r>
        <w:t xml:space="preserve"> be determined on a case-by-case basis</w:t>
      </w:r>
      <w:r w:rsidR="00B03D6E">
        <w:t xml:space="preserve"> to ensure that such drilling does not interfere with the purposes for which the grant-funded property was acquired</w:t>
      </w:r>
      <w:r w:rsidR="00AA6264">
        <w:t xml:space="preserve">.  </w:t>
      </w:r>
    </w:p>
    <w:p w:rsidR="00CE1A98" w:rsidRDefault="00CE1A98" w:rsidP="00CE1A98"/>
    <w:p w:rsidR="00CE1A98" w:rsidRDefault="00CE1A98" w:rsidP="00CE1A98">
      <w:r>
        <w:t>If the extraction is proposed to occur on WSFR-acquired property, in all likelihood this would represent interference with approved purposes of the grant.  Most WSFR land acquisitions are for purposes associated with providing wildlife habitat and hunting opportunities.  The footprint of an extraction activity, even for a temporary period, would remove a portion of the land from its intended purpose and represent interference.  If this were to occur, guidance under 80.134 and 80.135 would apply, requiring the State agency to fully restore the property to its intended use.  If the State agency is not able to restore the property to its intended use, it must then replace the property with property of equal monetary and wildlife values according to standards set forth by the Regio</w:t>
      </w:r>
      <w:r w:rsidR="00A7627F">
        <w:t>nal Director of the Service, and</w:t>
      </w:r>
      <w:r>
        <w:t xml:space="preserve"> with non-federal funds.</w:t>
      </w:r>
      <w:r w:rsidDel="00290749">
        <w:t xml:space="preserve"> </w:t>
      </w:r>
    </w:p>
    <w:p w:rsidR="00875DB0" w:rsidRDefault="00875DB0" w:rsidP="00CE1A98"/>
    <w:p w:rsidR="00875DB0" w:rsidRDefault="00875DB0" w:rsidP="00CE1A98">
      <w:r>
        <w:t xml:space="preserve">Secondary impacts of OGM exploration and extraction </w:t>
      </w:r>
      <w:r w:rsidR="007F4285">
        <w:t xml:space="preserve">may </w:t>
      </w:r>
      <w:r>
        <w:t xml:space="preserve">also </w:t>
      </w:r>
      <w:r w:rsidR="007F4285">
        <w:t>impact</w:t>
      </w:r>
      <w:r>
        <w:t xml:space="preserve"> to the surface estate.  These include </w:t>
      </w:r>
      <w:r w:rsidR="002A3C29">
        <w:t>surface disturbance by</w:t>
      </w:r>
      <w:r>
        <w:t xml:space="preserve"> seismic exploration for oil and gas, easements and rights-of-way to transmit resources after they are extracted</w:t>
      </w:r>
      <w:r w:rsidR="002A3C29">
        <w:t>, and rights-of-way for transmission lines to extraction sites</w:t>
      </w:r>
      <w:r>
        <w:t xml:space="preserve">.  </w:t>
      </w:r>
      <w:r w:rsidR="002A3C29">
        <w:t>Secondary impacts must be treated in the same way as the direct footprint of an extraction activity.</w:t>
      </w:r>
    </w:p>
    <w:p w:rsidR="00CE1A98" w:rsidRDefault="00CE1A98" w:rsidP="00CE1A98"/>
    <w:p w:rsidR="00CE1A98" w:rsidRDefault="00CE1A98" w:rsidP="00CE1A98">
      <w:r>
        <w:t>Additionally, in instances where States have purchased lands or portions of lands with hunting or fishing license revenues, income generated from such lands, including income from the extraction of OGM products, is also license revenue as set out in 50 CFR 80.20, and cannot be diverted from the control of the State Fish and Wildlife Agency, otherwise the Director of the FWS may declare the State to be  in diversion and ineligible to receive the benefits of the relevant Act as set out in 50 CFR 80.21.</w:t>
      </w:r>
    </w:p>
    <w:p w:rsidR="0006537B" w:rsidRDefault="0006537B"/>
    <w:sectPr w:rsidR="0006537B" w:rsidSect="004A52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DE6ED7"/>
    <w:multiLevelType w:val="hybridMultilevel"/>
    <w:tmpl w:val="033A4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A98"/>
    <w:rsid w:val="000147EC"/>
    <w:rsid w:val="00022276"/>
    <w:rsid w:val="000374E7"/>
    <w:rsid w:val="0006537B"/>
    <w:rsid w:val="0009305B"/>
    <w:rsid w:val="000C1F7A"/>
    <w:rsid w:val="001057A3"/>
    <w:rsid w:val="00114B05"/>
    <w:rsid w:val="001727E1"/>
    <w:rsid w:val="00205CCE"/>
    <w:rsid w:val="002314AA"/>
    <w:rsid w:val="00240E20"/>
    <w:rsid w:val="00280F37"/>
    <w:rsid w:val="00292544"/>
    <w:rsid w:val="002A3C29"/>
    <w:rsid w:val="002D2DBF"/>
    <w:rsid w:val="00360711"/>
    <w:rsid w:val="003B7CE6"/>
    <w:rsid w:val="003D7EFB"/>
    <w:rsid w:val="003E4623"/>
    <w:rsid w:val="003E77A6"/>
    <w:rsid w:val="0041551F"/>
    <w:rsid w:val="00460628"/>
    <w:rsid w:val="00463DA3"/>
    <w:rsid w:val="004705A4"/>
    <w:rsid w:val="00494FF7"/>
    <w:rsid w:val="00507611"/>
    <w:rsid w:val="005231C2"/>
    <w:rsid w:val="00554D08"/>
    <w:rsid w:val="005A67B5"/>
    <w:rsid w:val="005B253A"/>
    <w:rsid w:val="006247BB"/>
    <w:rsid w:val="006430F8"/>
    <w:rsid w:val="00647B1D"/>
    <w:rsid w:val="006644D7"/>
    <w:rsid w:val="006A24E7"/>
    <w:rsid w:val="006C3F5F"/>
    <w:rsid w:val="00784F40"/>
    <w:rsid w:val="00785E69"/>
    <w:rsid w:val="007E10AF"/>
    <w:rsid w:val="007F4285"/>
    <w:rsid w:val="00847810"/>
    <w:rsid w:val="00875DB0"/>
    <w:rsid w:val="008A2C48"/>
    <w:rsid w:val="008A726E"/>
    <w:rsid w:val="00914208"/>
    <w:rsid w:val="00940942"/>
    <w:rsid w:val="0095347D"/>
    <w:rsid w:val="00971202"/>
    <w:rsid w:val="009F4F1C"/>
    <w:rsid w:val="00A02EAC"/>
    <w:rsid w:val="00A16739"/>
    <w:rsid w:val="00A7627F"/>
    <w:rsid w:val="00A92AC6"/>
    <w:rsid w:val="00AA4F44"/>
    <w:rsid w:val="00AA6264"/>
    <w:rsid w:val="00AB36D9"/>
    <w:rsid w:val="00AE54AD"/>
    <w:rsid w:val="00B03D6E"/>
    <w:rsid w:val="00B23DF5"/>
    <w:rsid w:val="00B6605E"/>
    <w:rsid w:val="00B91022"/>
    <w:rsid w:val="00BE7B51"/>
    <w:rsid w:val="00BF2068"/>
    <w:rsid w:val="00C61275"/>
    <w:rsid w:val="00CB5DDA"/>
    <w:rsid w:val="00CD7273"/>
    <w:rsid w:val="00CE1A98"/>
    <w:rsid w:val="00D029FF"/>
    <w:rsid w:val="00D124FE"/>
    <w:rsid w:val="00D235E2"/>
    <w:rsid w:val="00D45A8A"/>
    <w:rsid w:val="00D67C63"/>
    <w:rsid w:val="00E74DE9"/>
    <w:rsid w:val="00F003ED"/>
    <w:rsid w:val="00F17CCA"/>
    <w:rsid w:val="00F34B30"/>
    <w:rsid w:val="00FA6636"/>
    <w:rsid w:val="00FB22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1A98"/>
    <w:rPr>
      <w:rFonts w:eastAsia="Calibri"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1A9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1A98"/>
    <w:rPr>
      <w:rFonts w:eastAsia="Calibri"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1A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902</Words>
  <Characters>5146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Busiahn, Tom</dc:creator>
  <cp:lastModifiedBy>Barlow, Peter H</cp:lastModifiedBy>
  <cp:revision>2</cp:revision>
  <cp:lastPrinted>2015-05-05T15:53:00Z</cp:lastPrinted>
  <dcterms:created xsi:type="dcterms:W3CDTF">2015-09-08T11:47:00Z</dcterms:created>
  <dcterms:modified xsi:type="dcterms:W3CDTF">2015-09-08T11:47:00Z</dcterms:modified>
</cp:coreProperties>
</file>