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35DFD13" w14:textId="59006438" w:rsidR="003F4636" w:rsidRDefault="003F4636" w:rsidP="003F4636">
      <w:pPr>
        <w:autoSpaceDE w:val="0"/>
        <w:autoSpaceDN w:val="0"/>
        <w:adjustRightInd w:val="0"/>
        <w:spacing w:after="0" w:line="480" w:lineRule="auto"/>
        <w:rPr>
          <w:b/>
          <w:bCs/>
        </w:rPr>
      </w:pPr>
      <w:r w:rsidRPr="00C10240">
        <w:rPr>
          <w:b/>
          <w:bCs/>
        </w:rPr>
        <w:t>Background</w:t>
      </w:r>
      <w:r>
        <w:rPr>
          <w:b/>
          <w:bCs/>
        </w:rPr>
        <w:t xml:space="preserve"> on Clean Vessel Act Regulation Update, from the Preamble to the Regulations</w:t>
      </w:r>
    </w:p>
    <w:p w14:paraId="264069AB" w14:textId="7AA56F7C" w:rsidR="003F4636" w:rsidRPr="003F4636" w:rsidRDefault="003F4636" w:rsidP="003F4636">
      <w:pPr>
        <w:autoSpaceDE w:val="0"/>
        <w:autoSpaceDN w:val="0"/>
        <w:adjustRightInd w:val="0"/>
        <w:spacing w:after="0" w:line="480" w:lineRule="auto"/>
        <w:rPr>
          <w:b/>
          <w:bCs/>
          <w:i/>
          <w:iCs/>
        </w:rPr>
      </w:pPr>
      <w:r w:rsidRPr="003F4636">
        <w:rPr>
          <w:b/>
          <w:bCs/>
          <w:i/>
          <w:iCs/>
        </w:rPr>
        <w:t>February 2024</w:t>
      </w:r>
    </w:p>
    <w:p w14:paraId="47C26711" w14:textId="77777777" w:rsidR="003F4636" w:rsidRDefault="003F4636" w:rsidP="003F4636">
      <w:pPr>
        <w:widowControl w:val="0"/>
        <w:suppressLineNumbers/>
        <w:suppressAutoHyphens/>
        <w:autoSpaceDE w:val="0"/>
        <w:autoSpaceDN w:val="0"/>
        <w:adjustRightInd w:val="0"/>
        <w:spacing w:after="0" w:line="240" w:lineRule="auto"/>
        <w:ind w:firstLine="720"/>
        <w:rPr>
          <w:rFonts w:eastAsia="Times New Roman"/>
        </w:rPr>
      </w:pPr>
      <w:r w:rsidRPr="00BC7DB3">
        <w:rPr>
          <w:rFonts w:eastAsia="Times New Roman"/>
        </w:rPr>
        <w:t>The U.S. Fish and Wildlife Service’s (Service) Wildlife and Sport Fish Restoration Program (WSFR) annually</w:t>
      </w:r>
      <w:r>
        <w:rPr>
          <w:rFonts w:eastAsia="Times New Roman"/>
        </w:rPr>
        <w:t xml:space="preserve"> awards $16 million in competitive awards to participating eligible agencies in the 50 States, the District of Columbia, the Commonwealths of Puerto Rico and the Northern Mariana Islands, and the Territories of American Samoa, Guam, and the U.S. Virgin Islands (States) under the Clean Vessel Act of 1992 (Act; Pub. L. 102-587, November 4, 1992) and</w:t>
      </w:r>
      <w:r w:rsidRPr="00957E5C">
        <w:rPr>
          <w:rFonts w:eastAsia="Times New Roman"/>
        </w:rPr>
        <w:t xml:space="preserve"> </w:t>
      </w:r>
      <w:r w:rsidRPr="00BC7DB3">
        <w:rPr>
          <w:rFonts w:eastAsia="Times New Roman"/>
        </w:rPr>
        <w:t xml:space="preserve">the Dingell-Johnson Sport Fish Restoration Act </w:t>
      </w:r>
      <w:r>
        <w:rPr>
          <w:rFonts w:eastAsia="Times New Roman"/>
        </w:rPr>
        <w:t>(Pub. L. 81-681</w:t>
      </w:r>
      <w:r w:rsidRPr="00BC7DB3">
        <w:rPr>
          <w:rFonts w:eastAsia="Times New Roman"/>
        </w:rPr>
        <w:t>, as amended</w:t>
      </w:r>
      <w:r>
        <w:rPr>
          <w:rFonts w:eastAsia="Times New Roman"/>
        </w:rPr>
        <w:t>) and which are codified at 33 U.S.C. 1322 (Note) and</w:t>
      </w:r>
      <w:r w:rsidRPr="00BC7DB3">
        <w:rPr>
          <w:rFonts w:eastAsia="Times New Roman"/>
        </w:rPr>
        <w:t xml:space="preserve"> 16 U.S.C. 777</w:t>
      </w:r>
      <w:r>
        <w:rPr>
          <w:rFonts w:eastAsia="Times New Roman"/>
        </w:rPr>
        <w:t xml:space="preserve">c(a). </w:t>
      </w:r>
      <w:r w:rsidRPr="00BC7DB3">
        <w:rPr>
          <w:rFonts w:eastAsia="Times New Roman"/>
        </w:rPr>
        <w:t>We</w:t>
      </w:r>
      <w:r>
        <w:rPr>
          <w:rFonts w:eastAsia="Times New Roman"/>
        </w:rPr>
        <w:t xml:space="preserve"> are</w:t>
      </w:r>
      <w:r w:rsidRPr="00BC7DB3">
        <w:rPr>
          <w:rFonts w:eastAsia="Times New Roman"/>
        </w:rPr>
        <w:t xml:space="preserve"> proposing to update the regulations </w:t>
      </w:r>
      <w:r>
        <w:rPr>
          <w:rFonts w:eastAsia="Times New Roman"/>
        </w:rPr>
        <w:t xml:space="preserve">in </w:t>
      </w:r>
      <w:r w:rsidRPr="00BC7DB3">
        <w:rPr>
          <w:rFonts w:eastAsia="Times New Roman"/>
        </w:rPr>
        <w:t>title 50 of the Code of Federal Regulations (CFR)</w:t>
      </w:r>
      <w:r>
        <w:rPr>
          <w:rFonts w:eastAsia="Times New Roman"/>
        </w:rPr>
        <w:t xml:space="preserve"> at </w:t>
      </w:r>
      <w:r w:rsidRPr="00BC7DB3">
        <w:rPr>
          <w:rFonts w:eastAsia="Times New Roman"/>
        </w:rPr>
        <w:t>part 8</w:t>
      </w:r>
      <w:r>
        <w:rPr>
          <w:rFonts w:eastAsia="Times New Roman"/>
        </w:rPr>
        <w:t>5</w:t>
      </w:r>
      <w:r w:rsidRPr="00BC7DB3">
        <w:rPr>
          <w:rFonts w:eastAsia="Times New Roman"/>
        </w:rPr>
        <w:t xml:space="preserve">, which is </w:t>
      </w:r>
      <w:r>
        <w:rPr>
          <w:rFonts w:eastAsia="Times New Roman"/>
        </w:rPr>
        <w:t xml:space="preserve">titled, </w:t>
      </w:r>
      <w:r w:rsidRPr="00BC7DB3">
        <w:rPr>
          <w:rFonts w:eastAsia="Times New Roman"/>
        </w:rPr>
        <w:t>“</w:t>
      </w:r>
      <w:r>
        <w:rPr>
          <w:rFonts w:eastAsia="Times New Roman"/>
        </w:rPr>
        <w:t>Clean Vessel Act Grant Program” (CVA).</w:t>
      </w:r>
    </w:p>
    <w:p w14:paraId="07F8D49D" w14:textId="77777777" w:rsidR="003F4636" w:rsidRPr="00813D0B" w:rsidRDefault="003F4636" w:rsidP="003F4636">
      <w:pPr>
        <w:widowControl w:val="0"/>
        <w:autoSpaceDE w:val="0"/>
        <w:autoSpaceDN w:val="0"/>
        <w:adjustRightInd w:val="0"/>
        <w:spacing w:after="0" w:line="240" w:lineRule="auto"/>
        <w:ind w:firstLine="720"/>
        <w:rPr>
          <w:rFonts w:eastAsia="Times New Roman"/>
        </w:rPr>
      </w:pPr>
      <w:r w:rsidRPr="00AD2779">
        <w:t xml:space="preserve">These regulations tell States how they may </w:t>
      </w:r>
      <w:r>
        <w:t xml:space="preserve">apply for and receive CVA competitive Federal financial assistance awards from funds available annually through </w:t>
      </w:r>
      <w:r w:rsidRPr="00AD2779">
        <w:t>the Sport Fish Restoration and Boating Trust Fund (</w:t>
      </w:r>
      <w:r>
        <w:t xml:space="preserve">Trust Fund; </w:t>
      </w:r>
      <w:r w:rsidRPr="00AD2779">
        <w:t>26 U.S.C. 9504)</w:t>
      </w:r>
      <w:r>
        <w:t xml:space="preserve">. CVA and the Boating Infrastructure Grant Program (BIG) together receive 4 percent of amounts available after administrative expenses, apportionments, and other expenses are removed. </w:t>
      </w:r>
      <w:r w:rsidRPr="00AD2779">
        <w:t>Th</w:t>
      </w:r>
      <w:r>
        <w:t xml:space="preserve">is </w:t>
      </w:r>
      <w:r w:rsidRPr="00AD2779">
        <w:t>program provide</w:t>
      </w:r>
      <w:r>
        <w:t>s</w:t>
      </w:r>
      <w:r w:rsidRPr="00AD2779">
        <w:t xml:space="preserve"> financial assistance to State agencies to </w:t>
      </w:r>
      <w:r w:rsidRPr="00D00064">
        <w:t xml:space="preserve">support their ongoing efforts to improve recreational boating opportunities and provide boaters with clean, efficient facilities to prevent </w:t>
      </w:r>
      <w:r>
        <w:t xml:space="preserve">vessel sewage and boater septic </w:t>
      </w:r>
      <w:r w:rsidRPr="00D00064">
        <w:t>waste disposal into public waterways and other ecosystems</w:t>
      </w:r>
      <w:r>
        <w:t>, and associated education and outreach</w:t>
      </w:r>
      <w:r w:rsidRPr="00D00064">
        <w:t>.</w:t>
      </w:r>
      <w:r>
        <w:t xml:space="preserve"> Assistance Listings for this program may be found at: </w:t>
      </w:r>
      <w:r w:rsidRPr="00E626D2">
        <w:rPr>
          <w:i/>
          <w:iCs/>
        </w:rPr>
        <w:t>https://sam.gov/content/assistance-listings</w:t>
      </w:r>
      <w:r>
        <w:t>. On that website, search for number 15.616 using the “</w:t>
      </w:r>
      <w:r w:rsidRPr="00927D74">
        <w:t>Search Assistance Listings</w:t>
      </w:r>
      <w:r>
        <w:t>” function.</w:t>
      </w:r>
    </w:p>
    <w:p w14:paraId="700151EA" w14:textId="77777777" w:rsidR="003F4636" w:rsidRDefault="003F4636" w:rsidP="003F4636">
      <w:pPr>
        <w:widowControl w:val="0"/>
        <w:suppressLineNumbers/>
        <w:tabs>
          <w:tab w:val="left" w:pos="720"/>
        </w:tabs>
        <w:suppressAutoHyphens/>
        <w:autoSpaceDE w:val="0"/>
        <w:autoSpaceDN w:val="0"/>
        <w:adjustRightInd w:val="0"/>
        <w:spacing w:after="0" w:line="240" w:lineRule="auto"/>
        <w:ind w:firstLine="720"/>
        <w:rPr>
          <w:rFonts w:eastAsia="Times New Roman"/>
        </w:rPr>
      </w:pPr>
      <w:r w:rsidRPr="00BC7DB3">
        <w:rPr>
          <w:rFonts w:eastAsia="Times New Roman"/>
        </w:rPr>
        <w:t xml:space="preserve">We published </w:t>
      </w:r>
      <w:r>
        <w:rPr>
          <w:rFonts w:eastAsia="Times New Roman"/>
        </w:rPr>
        <w:t xml:space="preserve">both </w:t>
      </w:r>
      <w:r w:rsidRPr="00BC7DB3">
        <w:rPr>
          <w:rFonts w:eastAsia="Times New Roman"/>
        </w:rPr>
        <w:t>the regulations</w:t>
      </w:r>
      <w:r>
        <w:rPr>
          <w:rFonts w:eastAsia="Times New Roman"/>
        </w:rPr>
        <w:t xml:space="preserve"> that appear in 50 CFR part 85</w:t>
      </w:r>
      <w:r w:rsidRPr="00BC7DB3">
        <w:rPr>
          <w:rFonts w:eastAsia="Times New Roman"/>
        </w:rPr>
        <w:t xml:space="preserve"> </w:t>
      </w:r>
      <w:r>
        <w:rPr>
          <w:rFonts w:eastAsia="Times New Roman"/>
        </w:rPr>
        <w:t xml:space="preserve">(59 FR 11204) and the accompanying “Clean Vessel Act: </w:t>
      </w:r>
      <w:proofErr w:type="spellStart"/>
      <w:r>
        <w:rPr>
          <w:rFonts w:eastAsia="Times New Roman"/>
        </w:rPr>
        <w:t>Pumpout</w:t>
      </w:r>
      <w:proofErr w:type="spellEnd"/>
      <w:r>
        <w:rPr>
          <w:rFonts w:eastAsia="Times New Roman"/>
        </w:rPr>
        <w:t xml:space="preserve"> Station and Dump Station Technical Guidelines” (hereafter referred to as the “Technical Guidelines”; 59 FR 11290) on March 10, 1994. We published additions to the regulations as a final rule “Clean Vessel Act </w:t>
      </w:r>
      <w:proofErr w:type="spellStart"/>
      <w:r>
        <w:rPr>
          <w:rFonts w:eastAsia="Times New Roman"/>
        </w:rPr>
        <w:t>Pumpout</w:t>
      </w:r>
      <w:proofErr w:type="spellEnd"/>
      <w:r>
        <w:rPr>
          <w:rFonts w:eastAsia="Times New Roman"/>
        </w:rPr>
        <w:t xml:space="preserve"> Symbol, Slogan, and Program Crediting” on August 27, 1997 (62 FR 45344). Since then, amendments have been made to CVA through the Transportation Equity Act for the 21</w:t>
      </w:r>
      <w:r w:rsidRPr="004F105D">
        <w:rPr>
          <w:rFonts w:eastAsia="Times New Roman"/>
          <w:vertAlign w:val="superscript"/>
        </w:rPr>
        <w:t>st</w:t>
      </w:r>
      <w:r>
        <w:rPr>
          <w:rFonts w:eastAsia="Times New Roman"/>
        </w:rPr>
        <w:t xml:space="preserve"> Century (Pub. L. 105-178, June 9, 1998), the Safe, Accountable, Flexible, Efficient Transportation Equity Act: A Legacy for Users (</w:t>
      </w:r>
      <w:r>
        <w:t xml:space="preserve">SAFETEA-LU; </w:t>
      </w:r>
      <w:r>
        <w:rPr>
          <w:rFonts w:eastAsia="Times New Roman"/>
        </w:rPr>
        <w:t>Pub. L. 109-59, August 10, 2005), and the Fixing America’s Surface Transportation Act (FAST Act; Pub. L. 114-94, January 6, 2015), as well as other laws that have extended authorization of program spending under the Trust Fund. Since 1992, CVA has made great strides in building facilities available to recreational boaters to manage disposal of vessel sewage and addressing the negative effects of septic boater waste in aquatic environments, thus helping to keep our waters clean. The emphasis in the original Act was on coastal States and coastal waters, but the 2005 amendment removed the coastal preference thus allowing CVA to focus on both coastal and inland waters equitably. The Service issued many memorandums over the years clarifying standards for CVA and CVA funding, but we have not proposed updates to the regulations until now.</w:t>
      </w:r>
    </w:p>
    <w:p w14:paraId="7DB077C3" w14:textId="77777777" w:rsidR="003F4636" w:rsidRDefault="003F4636" w:rsidP="003F4636">
      <w:pPr>
        <w:widowControl w:val="0"/>
        <w:suppressLineNumbers/>
        <w:tabs>
          <w:tab w:val="left" w:pos="720"/>
        </w:tabs>
        <w:suppressAutoHyphens/>
        <w:autoSpaceDE w:val="0"/>
        <w:autoSpaceDN w:val="0"/>
        <w:adjustRightInd w:val="0"/>
        <w:spacing w:after="0" w:line="240" w:lineRule="auto"/>
        <w:ind w:firstLine="720"/>
        <w:rPr>
          <w:rFonts w:eastAsia="Times New Roman"/>
        </w:rPr>
      </w:pPr>
      <w:r>
        <w:rPr>
          <w:rFonts w:eastAsia="Times New Roman"/>
        </w:rPr>
        <w:t xml:space="preserve">In June 2008, the Sport Fishing and Boating Partnership Council (Council), an advisory council under the Federal Advisory Committee Act, issued a report to the Service, “Boater’s Investment in Clean Water: A Review of the Clean Vessel Act” that covered the period 1992–2007. The report identified strong support, enthusiasm, and success for CVA over the period, but also identified 30 recommendations for improving the program. The Service worked with the Council over the next several years to determine ways to address the recommendations. We identified some recommendations that were related to Federal grant administration standards over which we had no control and a few that would have required a change in the law. The Service addressed many of the </w:t>
      </w:r>
      <w:r>
        <w:rPr>
          <w:rFonts w:eastAsia="Times New Roman"/>
        </w:rPr>
        <w:lastRenderedPageBreak/>
        <w:t>recommendations that were in its control, but several have not been addressed until now as part of this proposed regulatory update. Some of the Council recommendations we are addressing in this proposed rule relate to adjusting the approach for scoring applications for funding; providing flexibility for floating restroom projects; expanding on maintenance, monitoring, inspections, operations, and other activities that help ensure CVA-funded facilities continue to serve the purposes for which the CVA awards funding; ensuring that inland States can compete at the same level as coastal States; addressing user fees; and expanding on eligible activities.</w:t>
      </w:r>
    </w:p>
    <w:p w14:paraId="75EF7A7C" w14:textId="77777777" w:rsidR="003F4636" w:rsidRDefault="003F4636" w:rsidP="003F4636">
      <w:pPr>
        <w:widowControl w:val="0"/>
        <w:suppressLineNumbers/>
        <w:suppressAutoHyphens/>
        <w:autoSpaceDE w:val="0"/>
        <w:autoSpaceDN w:val="0"/>
        <w:adjustRightInd w:val="0"/>
        <w:spacing w:after="0" w:line="240" w:lineRule="auto"/>
        <w:ind w:firstLine="720"/>
        <w:rPr>
          <w:rFonts w:eastAsia="Times New Roman"/>
        </w:rPr>
      </w:pPr>
      <w:r>
        <w:rPr>
          <w:rFonts w:eastAsia="Times New Roman"/>
        </w:rPr>
        <w:t xml:space="preserve">In 2015 the Service published a CVA advance notice of proposed rulemaking (80 FR 55078, September 14, 2015) to ask the public about the CVA Technical Guidelines, maintenance and operation funding, State or local laws that affect CVA, user fees, defining “recreational vessel” and access to CVA-funded services, and “useful life.” We received comments from 15 State agencies, 1 local agency, 2 partner organizations, 2 marina associations, 3 interest organizations, 3 industry representatives, 1 harbormaster, and 2 individual members of the public. </w:t>
      </w:r>
    </w:p>
    <w:p w14:paraId="7F3AD09E" w14:textId="77777777" w:rsidR="003F4636" w:rsidRDefault="003F4636" w:rsidP="003F4636">
      <w:pPr>
        <w:widowControl w:val="0"/>
        <w:suppressLineNumbers/>
        <w:suppressAutoHyphens/>
        <w:autoSpaceDE w:val="0"/>
        <w:autoSpaceDN w:val="0"/>
        <w:adjustRightInd w:val="0"/>
        <w:spacing w:after="0" w:line="240" w:lineRule="auto"/>
        <w:ind w:firstLine="720"/>
        <w:rPr>
          <w:color w:val="000000"/>
          <w:shd w:val="clear" w:color="auto" w:fill="FFFFFF"/>
        </w:rPr>
      </w:pPr>
      <w:r>
        <w:rPr>
          <w:rFonts w:eastAsia="Times New Roman"/>
        </w:rPr>
        <w:t xml:space="preserve">Following the comment period, the Service partnered with the States Organization for Boating Access (SOBA, </w:t>
      </w:r>
      <w:r w:rsidRPr="006D056B">
        <w:rPr>
          <w:i/>
          <w:iCs/>
        </w:rPr>
        <w:t>https://sobaus.org</w:t>
      </w:r>
      <w:r>
        <w:rPr>
          <w:rFonts w:eastAsia="Times New Roman"/>
        </w:rPr>
        <w:t xml:space="preserve">), </w:t>
      </w:r>
      <w:r w:rsidRPr="00200BC0">
        <w:rPr>
          <w:color w:val="000000"/>
          <w:shd w:val="clear" w:color="auto" w:fill="FFFFFF"/>
        </w:rPr>
        <w:t>a national, nonprofit organization dedicated to improving access to waterways by promoting the public acquisition, development</w:t>
      </w:r>
      <w:r>
        <w:rPr>
          <w:color w:val="000000"/>
          <w:shd w:val="clear" w:color="auto" w:fill="FFFFFF"/>
        </w:rPr>
        <w:t>,</w:t>
      </w:r>
      <w:r w:rsidRPr="00200BC0">
        <w:rPr>
          <w:color w:val="000000"/>
          <w:shd w:val="clear" w:color="auto" w:fill="FFFFFF"/>
        </w:rPr>
        <w:t xml:space="preserve"> and maintenance of recreational boating facilities</w:t>
      </w:r>
      <w:r>
        <w:rPr>
          <w:color w:val="000000"/>
          <w:shd w:val="clear" w:color="auto" w:fill="FFFFFF"/>
        </w:rPr>
        <w:t xml:space="preserve"> and that </w:t>
      </w:r>
      <w:r w:rsidRPr="002A1E03">
        <w:rPr>
          <w:color w:val="000000"/>
          <w:shd w:val="clear" w:color="auto" w:fill="FFFFFF"/>
        </w:rPr>
        <w:t>encourage</w:t>
      </w:r>
      <w:r>
        <w:rPr>
          <w:color w:val="000000"/>
          <w:shd w:val="clear" w:color="auto" w:fill="FFFFFF"/>
        </w:rPr>
        <w:t>s</w:t>
      </w:r>
      <w:r w:rsidRPr="002A1E03">
        <w:rPr>
          <w:color w:val="000000"/>
          <w:shd w:val="clear" w:color="auto" w:fill="FFFFFF"/>
        </w:rPr>
        <w:t>, promote</w:t>
      </w:r>
      <w:r>
        <w:rPr>
          <w:color w:val="000000"/>
          <w:shd w:val="clear" w:color="auto" w:fill="FFFFFF"/>
        </w:rPr>
        <w:t>s,</w:t>
      </w:r>
      <w:r w:rsidRPr="002A1E03">
        <w:rPr>
          <w:color w:val="000000"/>
          <w:shd w:val="clear" w:color="auto" w:fill="FFFFFF"/>
        </w:rPr>
        <w:t xml:space="preserve"> and support</w:t>
      </w:r>
      <w:r>
        <w:rPr>
          <w:color w:val="000000"/>
          <w:shd w:val="clear" w:color="auto" w:fill="FFFFFF"/>
        </w:rPr>
        <w:t>s</w:t>
      </w:r>
      <w:r w:rsidRPr="002A1E03">
        <w:rPr>
          <w:color w:val="000000"/>
          <w:shd w:val="clear" w:color="auto" w:fill="FFFFFF"/>
        </w:rPr>
        <w:t xml:space="preserve"> </w:t>
      </w:r>
      <w:r>
        <w:rPr>
          <w:color w:val="000000"/>
          <w:shd w:val="clear" w:color="auto" w:fill="FFFFFF"/>
        </w:rPr>
        <w:t>F</w:t>
      </w:r>
      <w:r w:rsidRPr="002A1E03">
        <w:rPr>
          <w:color w:val="000000"/>
          <w:shd w:val="clear" w:color="auto" w:fill="FFFFFF"/>
        </w:rPr>
        <w:t xml:space="preserve">ederal and </w:t>
      </w:r>
      <w:r>
        <w:rPr>
          <w:color w:val="000000"/>
          <w:shd w:val="clear" w:color="auto" w:fill="FFFFFF"/>
        </w:rPr>
        <w:t>S</w:t>
      </w:r>
      <w:r w:rsidRPr="002A1E03">
        <w:rPr>
          <w:color w:val="000000"/>
          <w:shd w:val="clear" w:color="auto" w:fill="FFFFFF"/>
        </w:rPr>
        <w:t>tate programs that provide safe, high-quality</w:t>
      </w:r>
      <w:r>
        <w:rPr>
          <w:color w:val="000000"/>
          <w:shd w:val="clear" w:color="auto" w:fill="FFFFFF"/>
        </w:rPr>
        <w:t>,</w:t>
      </w:r>
      <w:r w:rsidRPr="002A1E03">
        <w:rPr>
          <w:color w:val="000000"/>
          <w:shd w:val="clear" w:color="auto" w:fill="FFFFFF"/>
        </w:rPr>
        <w:t xml:space="preserve"> and environmentally sound public recreational boating access to the waterways of the United States and its territories.</w:t>
      </w:r>
      <w:r>
        <w:rPr>
          <w:color w:val="000000"/>
          <w:shd w:val="clear" w:color="auto" w:fill="FFFFFF"/>
        </w:rPr>
        <w:t xml:space="preserve"> SOBA members consist of the State agencies that are eligible to apply for and receive CVA funding. SOBA provided a team of subject matter experts to the Service to assist with considering the comments received from the advance notice of proposed rulemaking and other topics related to CVA. The combined Federal, State, and partner team worked on approaches to updating the CVA regulations through 2017. Further work was delayed until 2022, when we reengaged with Service staff and our partners.</w:t>
      </w:r>
    </w:p>
    <w:p w14:paraId="0E623B0E" w14:textId="77777777" w:rsidR="003F4636" w:rsidRDefault="003F4636" w:rsidP="003F4636">
      <w:pPr>
        <w:widowControl w:val="0"/>
        <w:suppressLineNumbers/>
        <w:suppressAutoHyphens/>
        <w:autoSpaceDE w:val="0"/>
        <w:autoSpaceDN w:val="0"/>
        <w:adjustRightInd w:val="0"/>
        <w:spacing w:after="0" w:line="240" w:lineRule="auto"/>
        <w:ind w:firstLine="720"/>
        <w:rPr>
          <w:color w:val="000000"/>
          <w:shd w:val="clear" w:color="auto" w:fill="FFFFFF"/>
        </w:rPr>
      </w:pPr>
      <w:r>
        <w:rPr>
          <w:color w:val="000000"/>
          <w:shd w:val="clear" w:color="auto" w:fill="FFFFFF"/>
        </w:rPr>
        <w:t>In 2022 WSFR Headquarters staff restarted collaborative efforts by engaging with Service subject matter experts and the CVA community during the year, at the August 2022 SOBA Symposium, and in the period September–November 2022 when we hosted seven open forum discussions, inviting Service staff, State agencies, other Federal agencies, and interested parties to attend and share thoughts and experiences on CVA. Each CVA open forum focused on specific topics, with resources and talking points being provided to the approximately 90 participants in the discussions. During 2023 the Service continued collaborative efforts through meetings and during the 2023 SOBA Symposium. During October 2023, the Service invited staff, States, Federal agencies, and other interested parties to review and comment on the draft proposed rule. We hosted two open forums during that time, with an average attendance of approximately 40. We received a total of 15 sets of comments in response to this invitation. The Service has considered the Council report, comments from the advance notice of proposed rulemaking, other applicable documents and research, and all internal and partner engagement from 2015 through 2023 in developing this proposed rule.</w:t>
      </w:r>
    </w:p>
    <w:p w14:paraId="69805316" w14:textId="77777777" w:rsidR="003F4636" w:rsidRDefault="003F4636" w:rsidP="003F4636">
      <w:pPr>
        <w:widowControl w:val="0"/>
        <w:suppressLineNumbers/>
        <w:suppressAutoHyphens/>
        <w:autoSpaceDE w:val="0"/>
        <w:autoSpaceDN w:val="0"/>
        <w:adjustRightInd w:val="0"/>
        <w:spacing w:after="0" w:line="240" w:lineRule="auto"/>
        <w:ind w:firstLine="720"/>
        <w:rPr>
          <w:color w:val="000000"/>
          <w:shd w:val="clear" w:color="auto" w:fill="FFFFFF"/>
        </w:rPr>
      </w:pPr>
      <w:r>
        <w:rPr>
          <w:color w:val="000000"/>
          <w:shd w:val="clear" w:color="auto" w:fill="FFFFFF"/>
        </w:rPr>
        <w:t>In addition to State agencies and other interested parties, we have closely coordinated with staff from the U.S. Environmental Protection Agency (EPA), the U.S. Coast Guard (USCG), and the National Oceanic and Atmospheric Administration (NOAA), as, along with the Service, these agencies have authority for and regulate various requirements and activities for recreational vessels and/or recreational boating in the United States. These three Federal agencies have reviewed these proposed regulations and agree that they would not interfere with their ability to enforce their recreational vessel or recreational boating regulations or policies.</w:t>
      </w:r>
    </w:p>
    <w:p w14:paraId="2FA4E636" w14:textId="77777777" w:rsidR="00150E42" w:rsidRDefault="00150E42" w:rsidP="003F4636">
      <w:pPr>
        <w:spacing w:line="240" w:lineRule="auto"/>
      </w:pPr>
    </w:p>
    <w:sectPr w:rsidR="00150E42" w:rsidSect="003F4636">
      <w:footerReference w:type="default" r:id="rId6"/>
      <w:pgSz w:w="12240" w:h="15840"/>
      <w:pgMar w:top="1440" w:right="1152" w:bottom="1440" w:left="1152"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AF7715E" w14:textId="77777777" w:rsidR="003F4636" w:rsidRDefault="003F4636" w:rsidP="003F4636">
      <w:pPr>
        <w:spacing w:after="0" w:line="240" w:lineRule="auto"/>
      </w:pPr>
      <w:r>
        <w:separator/>
      </w:r>
    </w:p>
  </w:endnote>
  <w:endnote w:type="continuationSeparator" w:id="0">
    <w:p w14:paraId="35D45366" w14:textId="77777777" w:rsidR="003F4636" w:rsidRDefault="003F4636" w:rsidP="003F463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00912269"/>
      <w:docPartObj>
        <w:docPartGallery w:val="Page Numbers (Bottom of Page)"/>
        <w:docPartUnique/>
      </w:docPartObj>
    </w:sdtPr>
    <w:sdtEndPr>
      <w:rPr>
        <w:noProof/>
      </w:rPr>
    </w:sdtEndPr>
    <w:sdtContent>
      <w:p w14:paraId="6ADEA2FE" w14:textId="306B5602" w:rsidR="003F4636" w:rsidRDefault="003F4636">
        <w:pPr>
          <w:pStyle w:val="Footer"/>
          <w:jc w:val="right"/>
        </w:pPr>
        <w:r>
          <w:fldChar w:fldCharType="begin"/>
        </w:r>
        <w:r>
          <w:instrText xml:space="preserve"> PAGE   \* MERGEFORMAT </w:instrText>
        </w:r>
        <w:r>
          <w:fldChar w:fldCharType="separate"/>
        </w:r>
        <w:r>
          <w:rPr>
            <w:noProof/>
          </w:rPr>
          <w:t>2</w:t>
        </w:r>
        <w:r>
          <w:rPr>
            <w:noProof/>
          </w:rPr>
          <w:fldChar w:fldCharType="end"/>
        </w:r>
      </w:p>
    </w:sdtContent>
  </w:sdt>
  <w:p w14:paraId="3EB5A843" w14:textId="77777777" w:rsidR="003F4636" w:rsidRDefault="003F463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FCB88A" w14:textId="77777777" w:rsidR="003F4636" w:rsidRDefault="003F4636" w:rsidP="003F4636">
      <w:pPr>
        <w:spacing w:after="0" w:line="240" w:lineRule="auto"/>
      </w:pPr>
      <w:r>
        <w:separator/>
      </w:r>
    </w:p>
  </w:footnote>
  <w:footnote w:type="continuationSeparator" w:id="0">
    <w:p w14:paraId="296D5A82" w14:textId="77777777" w:rsidR="003F4636" w:rsidRDefault="003F4636" w:rsidP="003F4636">
      <w:pPr>
        <w:spacing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F4636"/>
    <w:rsid w:val="00017B64"/>
    <w:rsid w:val="00090B56"/>
    <w:rsid w:val="00150E42"/>
    <w:rsid w:val="003F4636"/>
    <w:rsid w:val="00544948"/>
    <w:rsid w:val="00E214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9D86A71"/>
  <w15:docId w15:val="{11F1FB53-5DEA-4733-80CD-67945070C3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heme="minorHAnsi" w:hAnsi="Times New Roman" w:cs="Times New Roman"/>
        <w:kern w:val="2"/>
        <w:sz w:val="24"/>
        <w:szCs w:val="24"/>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F4636"/>
    <w:rPr>
      <w:kern w:val="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3F4636"/>
    <w:pPr>
      <w:tabs>
        <w:tab w:val="center" w:pos="4680"/>
        <w:tab w:val="right" w:pos="9360"/>
      </w:tabs>
      <w:spacing w:after="0" w:line="240" w:lineRule="auto"/>
    </w:pPr>
  </w:style>
  <w:style w:type="character" w:customStyle="1" w:styleId="HeaderChar">
    <w:name w:val="Header Char"/>
    <w:basedOn w:val="DefaultParagraphFont"/>
    <w:link w:val="Header"/>
    <w:uiPriority w:val="99"/>
    <w:rsid w:val="003F4636"/>
    <w:rPr>
      <w:kern w:val="0"/>
    </w:rPr>
  </w:style>
  <w:style w:type="paragraph" w:styleId="Footer">
    <w:name w:val="footer"/>
    <w:basedOn w:val="Normal"/>
    <w:link w:val="FooterChar"/>
    <w:uiPriority w:val="99"/>
    <w:unhideWhenUsed/>
    <w:rsid w:val="003F4636"/>
    <w:pPr>
      <w:tabs>
        <w:tab w:val="center" w:pos="4680"/>
        <w:tab w:val="right" w:pos="9360"/>
      </w:tabs>
      <w:spacing w:after="0" w:line="240" w:lineRule="auto"/>
    </w:pPr>
  </w:style>
  <w:style w:type="character" w:customStyle="1" w:styleId="FooterChar">
    <w:name w:val="Footer Char"/>
    <w:basedOn w:val="DefaultParagraphFont"/>
    <w:link w:val="Footer"/>
    <w:uiPriority w:val="99"/>
    <w:rsid w:val="003F4636"/>
    <w:rPr>
      <w:kern w:val="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7</TotalTime>
  <Pages>2</Pages>
  <Words>1221</Words>
  <Characters>6963</Characters>
  <Application>Microsoft Office Word</Application>
  <DocSecurity>0</DocSecurity>
  <Lines>58</Lines>
  <Paragraphs>16</Paragraphs>
  <ScaleCrop>false</ScaleCrop>
  <Company/>
  <LinksUpToDate>false</LinksUpToDate>
  <CharactersWithSpaces>8168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Lisa Van Alstyne</dc:creator>
  <cp:keywords/>
  <dc:description/>
  <cp:lastModifiedBy>Lisa Van Alstyne</cp:lastModifiedBy>
  <cp:revision>1</cp:revision>
  <dcterms:created xsi:type="dcterms:W3CDTF">2024-02-06T13:55:00Z</dcterms:created>
  <dcterms:modified xsi:type="dcterms:W3CDTF">2024-02-06T14:02:00Z</dcterms:modified>
</cp:coreProperties>
</file>